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40" w:rsidRDefault="00793640" w:rsidP="00111D78">
      <w:pPr>
        <w:pStyle w:val="Nadpis1"/>
        <w:jc w:val="center"/>
      </w:pPr>
      <w:bookmarkStart w:id="0" w:name="_GoBack"/>
      <w:bookmarkEnd w:id="0"/>
    </w:p>
    <w:p w:rsidR="000F4C4A" w:rsidRDefault="00985A80" w:rsidP="00111D78">
      <w:pPr>
        <w:pStyle w:val="Nadpis1"/>
        <w:jc w:val="center"/>
      </w:pPr>
      <w:r>
        <w:t>I</w:t>
      </w:r>
      <w:r w:rsidR="00CD062C" w:rsidRPr="00111D78">
        <w:t xml:space="preserve">nformace o </w:t>
      </w:r>
      <w:r w:rsidR="002B3B09" w:rsidRPr="00111D78">
        <w:t xml:space="preserve">problémových </w:t>
      </w:r>
      <w:r w:rsidR="00CD062C" w:rsidRPr="00111D78">
        <w:t xml:space="preserve">projektech </w:t>
      </w:r>
      <w:r w:rsidR="00CD062C" w:rsidRPr="00111D78">
        <w:br/>
        <w:t>v Integrovaném operačním programu</w:t>
      </w:r>
    </w:p>
    <w:p w:rsidR="000C0A9F" w:rsidRDefault="00904DF1" w:rsidP="000C0A9F">
      <w:pPr>
        <w:jc w:val="center"/>
      </w:pPr>
      <w:r>
        <w:t>červen</w:t>
      </w:r>
      <w:r w:rsidR="00770E9F">
        <w:t>ec</w:t>
      </w:r>
      <w:r w:rsidR="00CD7A4B">
        <w:t xml:space="preserve"> 2015</w:t>
      </w:r>
    </w:p>
    <w:p w:rsidR="000F4C4A" w:rsidRDefault="000F4C4A" w:rsidP="00111D78">
      <w:pPr>
        <w:pStyle w:val="Nadpis2"/>
        <w:numPr>
          <w:ilvl w:val="0"/>
          <w:numId w:val="3"/>
        </w:numPr>
      </w:pPr>
      <w:r w:rsidRPr="00A97BD8">
        <w:t>Systém dohledu problematických projektů</w:t>
      </w:r>
    </w:p>
    <w:p w:rsidR="00FD5C7E" w:rsidRPr="00FD5C7E" w:rsidRDefault="00FD5C7E" w:rsidP="00FD5C7E"/>
    <w:p w:rsidR="00597D78" w:rsidRDefault="003A7B3A" w:rsidP="00CD062C">
      <w:pPr>
        <w:spacing w:line="276" w:lineRule="auto"/>
        <w:jc w:val="both"/>
        <w:rPr>
          <w:rFonts w:cs="Arial"/>
          <w:sz w:val="22"/>
          <w:szCs w:val="22"/>
        </w:rPr>
      </w:pPr>
      <w:r>
        <w:rPr>
          <w:rFonts w:cs="Arial"/>
          <w:sz w:val="22"/>
          <w:szCs w:val="22"/>
        </w:rPr>
        <w:t>D</w:t>
      </w:r>
      <w:r w:rsidR="00CD062C" w:rsidRPr="00A97BD8">
        <w:rPr>
          <w:rFonts w:cs="Arial"/>
          <w:sz w:val="22"/>
          <w:szCs w:val="22"/>
        </w:rPr>
        <w:t xml:space="preserve">louhodobé problémy s realizací </w:t>
      </w:r>
      <w:r w:rsidR="00A54025">
        <w:rPr>
          <w:rFonts w:cs="Arial"/>
          <w:sz w:val="22"/>
          <w:szCs w:val="22"/>
        </w:rPr>
        <w:t xml:space="preserve">některých </w:t>
      </w:r>
      <w:r w:rsidR="00CD062C" w:rsidRPr="00A97BD8">
        <w:rPr>
          <w:rFonts w:cs="Arial"/>
          <w:sz w:val="22"/>
          <w:szCs w:val="22"/>
        </w:rPr>
        <w:t xml:space="preserve">projektů v Integrovaném operačním programu (dále jen </w:t>
      </w:r>
      <w:r w:rsidR="00790EEE" w:rsidRPr="00A97BD8">
        <w:rPr>
          <w:rFonts w:cs="Arial"/>
          <w:sz w:val="22"/>
          <w:szCs w:val="22"/>
        </w:rPr>
        <w:t>„</w:t>
      </w:r>
      <w:r w:rsidR="00CD062C" w:rsidRPr="00A97BD8">
        <w:rPr>
          <w:rFonts w:cs="Arial"/>
          <w:sz w:val="22"/>
          <w:szCs w:val="22"/>
        </w:rPr>
        <w:t>IOP</w:t>
      </w:r>
      <w:r w:rsidR="00790EEE" w:rsidRPr="00A97BD8">
        <w:rPr>
          <w:rFonts w:cs="Arial"/>
          <w:sz w:val="22"/>
          <w:szCs w:val="22"/>
        </w:rPr>
        <w:t>“</w:t>
      </w:r>
      <w:r w:rsidR="00CD062C" w:rsidRPr="00A97BD8">
        <w:rPr>
          <w:rFonts w:cs="Arial"/>
          <w:sz w:val="22"/>
          <w:szCs w:val="22"/>
        </w:rPr>
        <w:t>), které ovlivňují plnění predikcí čerpání finančních prostředků,</w:t>
      </w:r>
      <w:r w:rsidR="001C4245" w:rsidRPr="00A97BD8">
        <w:rPr>
          <w:rFonts w:cs="Arial"/>
          <w:sz w:val="22"/>
          <w:szCs w:val="22"/>
        </w:rPr>
        <w:t xml:space="preserve"> j</w:t>
      </w:r>
      <w:r w:rsidR="00C84D10">
        <w:rPr>
          <w:rFonts w:cs="Arial"/>
          <w:sz w:val="22"/>
          <w:szCs w:val="22"/>
        </w:rPr>
        <w:t>sou</w:t>
      </w:r>
      <w:r>
        <w:rPr>
          <w:rFonts w:cs="Arial"/>
          <w:sz w:val="22"/>
          <w:szCs w:val="22"/>
        </w:rPr>
        <w:t xml:space="preserve"> jedním z </w:t>
      </w:r>
      <w:r w:rsidR="00904DF1">
        <w:rPr>
          <w:rFonts w:cs="Arial"/>
          <w:sz w:val="22"/>
          <w:szCs w:val="22"/>
        </w:rPr>
        <w:t>důvodů</w:t>
      </w:r>
      <w:r w:rsidR="00904DF1" w:rsidRPr="00A97BD8">
        <w:rPr>
          <w:rFonts w:cs="Arial"/>
          <w:sz w:val="22"/>
          <w:szCs w:val="22"/>
        </w:rPr>
        <w:t xml:space="preserve"> </w:t>
      </w:r>
      <w:r w:rsidR="00904DF1">
        <w:rPr>
          <w:rFonts w:cs="Arial"/>
          <w:sz w:val="22"/>
          <w:szCs w:val="22"/>
        </w:rPr>
        <w:t>zařazení</w:t>
      </w:r>
      <w:r>
        <w:rPr>
          <w:rFonts w:cs="Arial"/>
          <w:sz w:val="22"/>
          <w:szCs w:val="22"/>
        </w:rPr>
        <w:t xml:space="preserve"> IOP</w:t>
      </w:r>
      <w:r w:rsidR="001C4245" w:rsidRPr="00A97BD8">
        <w:rPr>
          <w:rFonts w:cs="Arial"/>
          <w:sz w:val="22"/>
          <w:szCs w:val="22"/>
        </w:rPr>
        <w:t xml:space="preserve"> mezi</w:t>
      </w:r>
      <w:r w:rsidR="000571EB" w:rsidRPr="00A97BD8">
        <w:rPr>
          <w:rFonts w:cs="Arial"/>
          <w:sz w:val="22"/>
          <w:szCs w:val="22"/>
        </w:rPr>
        <w:t xml:space="preserve"> </w:t>
      </w:r>
      <w:r w:rsidR="001C4245" w:rsidRPr="00A97BD8">
        <w:rPr>
          <w:rFonts w:cs="Arial"/>
          <w:sz w:val="22"/>
          <w:szCs w:val="22"/>
        </w:rPr>
        <w:t>rizikové operační programy</w:t>
      </w:r>
      <w:r w:rsidR="00897B87">
        <w:rPr>
          <w:rFonts w:cs="Arial"/>
          <w:sz w:val="22"/>
          <w:szCs w:val="22"/>
        </w:rPr>
        <w:t>,</w:t>
      </w:r>
      <w:r w:rsidR="001C4245" w:rsidRPr="00A97BD8">
        <w:rPr>
          <w:rFonts w:cs="Arial"/>
          <w:sz w:val="22"/>
          <w:szCs w:val="22"/>
        </w:rPr>
        <w:t xml:space="preserve"> spadají</w:t>
      </w:r>
      <w:r w:rsidR="00790EEE" w:rsidRPr="00A97BD8">
        <w:rPr>
          <w:rFonts w:cs="Arial"/>
          <w:sz w:val="22"/>
          <w:szCs w:val="22"/>
        </w:rPr>
        <w:t>cí</w:t>
      </w:r>
      <w:r w:rsidR="001C4245" w:rsidRPr="00A97BD8">
        <w:rPr>
          <w:rFonts w:cs="Arial"/>
          <w:sz w:val="22"/>
          <w:szCs w:val="22"/>
        </w:rPr>
        <w:t xml:space="preserve"> pod krizové řízení </w:t>
      </w:r>
      <w:r w:rsidR="001C4245" w:rsidRPr="00B13780">
        <w:rPr>
          <w:rFonts w:cs="Arial"/>
          <w:sz w:val="22"/>
          <w:szCs w:val="22"/>
        </w:rPr>
        <w:t xml:space="preserve">Národního orgánu pro </w:t>
      </w:r>
      <w:r w:rsidR="00E71230" w:rsidRPr="00B13780">
        <w:rPr>
          <w:rFonts w:cs="Arial"/>
          <w:sz w:val="22"/>
          <w:szCs w:val="22"/>
        </w:rPr>
        <w:t>koordinaci.</w:t>
      </w:r>
      <w:r w:rsidR="00CD062C" w:rsidRPr="00A04E90">
        <w:rPr>
          <w:rFonts w:cs="Arial"/>
          <w:b/>
          <w:sz w:val="22"/>
          <w:szCs w:val="22"/>
        </w:rPr>
        <w:t xml:space="preserve"> Řídící orgán IOP</w:t>
      </w:r>
      <w:r w:rsidR="00881E8B" w:rsidRPr="00A04E90">
        <w:rPr>
          <w:rFonts w:cs="Arial"/>
          <w:b/>
          <w:sz w:val="22"/>
          <w:szCs w:val="22"/>
        </w:rPr>
        <w:t xml:space="preserve"> (dále jen </w:t>
      </w:r>
      <w:r w:rsidR="00790EEE" w:rsidRPr="00A04E90">
        <w:rPr>
          <w:rFonts w:cs="Arial"/>
          <w:b/>
          <w:sz w:val="22"/>
          <w:szCs w:val="22"/>
        </w:rPr>
        <w:t>„</w:t>
      </w:r>
      <w:r w:rsidR="00881E8B" w:rsidRPr="00A04E90">
        <w:rPr>
          <w:rFonts w:cs="Arial"/>
          <w:b/>
          <w:sz w:val="22"/>
          <w:szCs w:val="22"/>
        </w:rPr>
        <w:t>ŘO IOP</w:t>
      </w:r>
      <w:r w:rsidR="00790EEE" w:rsidRPr="00A04E90">
        <w:rPr>
          <w:rFonts w:cs="Arial"/>
          <w:b/>
          <w:sz w:val="22"/>
          <w:szCs w:val="22"/>
        </w:rPr>
        <w:t>“</w:t>
      </w:r>
      <w:r w:rsidR="00881E8B" w:rsidRPr="00A04E90">
        <w:rPr>
          <w:rFonts w:cs="Arial"/>
          <w:b/>
          <w:sz w:val="22"/>
          <w:szCs w:val="22"/>
        </w:rPr>
        <w:t>)</w:t>
      </w:r>
      <w:r w:rsidR="00206C1F" w:rsidRPr="00A04E90">
        <w:rPr>
          <w:rFonts w:cs="Arial"/>
          <w:b/>
          <w:sz w:val="22"/>
          <w:szCs w:val="22"/>
        </w:rPr>
        <w:t>,</w:t>
      </w:r>
      <w:r w:rsidR="00CD062C" w:rsidRPr="00A04E90">
        <w:rPr>
          <w:rFonts w:cs="Arial"/>
          <w:b/>
          <w:sz w:val="22"/>
          <w:szCs w:val="22"/>
        </w:rPr>
        <w:t xml:space="preserve"> ve spolupráci se zprostředkujícími subjekty</w:t>
      </w:r>
      <w:r w:rsidR="00897B87" w:rsidRPr="00A04E90">
        <w:rPr>
          <w:rFonts w:cs="Arial"/>
          <w:b/>
          <w:sz w:val="22"/>
          <w:szCs w:val="22"/>
        </w:rPr>
        <w:t>,</w:t>
      </w:r>
      <w:r w:rsidR="00E71230" w:rsidRPr="00A04E90">
        <w:rPr>
          <w:rFonts w:cs="Arial"/>
          <w:b/>
          <w:sz w:val="22"/>
          <w:szCs w:val="22"/>
        </w:rPr>
        <w:t xml:space="preserve"> provádí</w:t>
      </w:r>
      <w:r w:rsidR="00CD062C" w:rsidRPr="00A04E90">
        <w:rPr>
          <w:rFonts w:cs="Arial"/>
          <w:b/>
          <w:sz w:val="22"/>
          <w:szCs w:val="22"/>
        </w:rPr>
        <w:t xml:space="preserve"> od července 2012 speciální systém dohledu a řízení spících projektů (termíny pro realizaci </w:t>
      </w:r>
      <w:r w:rsidR="00A22FD1" w:rsidRPr="00A04E90">
        <w:rPr>
          <w:rFonts w:cs="Arial"/>
          <w:b/>
          <w:sz w:val="22"/>
          <w:szCs w:val="22"/>
        </w:rPr>
        <w:t xml:space="preserve">projektu </w:t>
      </w:r>
      <w:r w:rsidR="00CD062C" w:rsidRPr="00A04E90">
        <w:rPr>
          <w:rFonts w:cs="Arial"/>
          <w:b/>
          <w:sz w:val="22"/>
          <w:szCs w:val="22"/>
        </w:rPr>
        <w:t xml:space="preserve">jsou na hranici proveditelnosti), </w:t>
      </w:r>
      <w:r w:rsidR="00FE4CB9" w:rsidRPr="00A04E90">
        <w:rPr>
          <w:rFonts w:cs="Arial"/>
          <w:b/>
          <w:sz w:val="22"/>
          <w:szCs w:val="22"/>
        </w:rPr>
        <w:t xml:space="preserve">vysoce </w:t>
      </w:r>
      <w:r w:rsidR="00CD062C" w:rsidRPr="00A04E90">
        <w:rPr>
          <w:rFonts w:cs="Arial"/>
          <w:b/>
          <w:sz w:val="22"/>
          <w:szCs w:val="22"/>
        </w:rPr>
        <w:t>rizikových projektů (obtížn</w:t>
      </w:r>
      <w:r w:rsidR="009C01AD" w:rsidRPr="00A04E90">
        <w:rPr>
          <w:rFonts w:cs="Arial"/>
          <w:b/>
          <w:sz w:val="22"/>
          <w:szCs w:val="22"/>
        </w:rPr>
        <w:t>á</w:t>
      </w:r>
      <w:r w:rsidR="00CD062C" w:rsidRPr="00A04E90">
        <w:rPr>
          <w:rFonts w:cs="Arial"/>
          <w:b/>
          <w:sz w:val="22"/>
          <w:szCs w:val="22"/>
        </w:rPr>
        <w:t xml:space="preserve"> komunikac</w:t>
      </w:r>
      <w:r w:rsidR="009C01AD" w:rsidRPr="00A04E90">
        <w:rPr>
          <w:rFonts w:cs="Arial"/>
          <w:b/>
          <w:sz w:val="22"/>
          <w:szCs w:val="22"/>
        </w:rPr>
        <w:t>e</w:t>
      </w:r>
      <w:r w:rsidR="00CD062C" w:rsidRPr="00A04E90">
        <w:rPr>
          <w:rFonts w:cs="Arial"/>
          <w:b/>
          <w:sz w:val="22"/>
          <w:szCs w:val="22"/>
        </w:rPr>
        <w:t xml:space="preserve"> s</w:t>
      </w:r>
      <w:r w:rsidR="009C01AD" w:rsidRPr="00A04E90">
        <w:rPr>
          <w:rFonts w:cs="Arial"/>
          <w:b/>
          <w:sz w:val="22"/>
          <w:szCs w:val="22"/>
        </w:rPr>
        <w:t> </w:t>
      </w:r>
      <w:r w:rsidR="00CD062C" w:rsidRPr="00A04E90">
        <w:rPr>
          <w:rFonts w:cs="Arial"/>
          <w:b/>
          <w:sz w:val="22"/>
          <w:szCs w:val="22"/>
        </w:rPr>
        <w:t>příjemcem</w:t>
      </w:r>
      <w:r w:rsidR="009C01AD" w:rsidRPr="00A04E90">
        <w:rPr>
          <w:rFonts w:cs="Arial"/>
          <w:b/>
          <w:sz w:val="22"/>
          <w:szCs w:val="22"/>
        </w:rPr>
        <w:t>,</w:t>
      </w:r>
      <w:r w:rsidR="00CD062C" w:rsidRPr="00A04E90">
        <w:rPr>
          <w:rFonts w:cs="Arial"/>
          <w:b/>
          <w:sz w:val="22"/>
          <w:szCs w:val="22"/>
        </w:rPr>
        <w:t xml:space="preserve"> plnění termínů vykazuje vážné nedostatky) a </w:t>
      </w:r>
      <w:r w:rsidR="004148CA" w:rsidRPr="00A04E90">
        <w:rPr>
          <w:rFonts w:cs="Arial"/>
          <w:b/>
          <w:sz w:val="22"/>
          <w:szCs w:val="22"/>
        </w:rPr>
        <w:t>rizikových projektů (</w:t>
      </w:r>
      <w:r w:rsidR="004148CA" w:rsidRPr="00EA2009">
        <w:rPr>
          <w:rFonts w:cs="Arial"/>
          <w:b/>
          <w:sz w:val="22"/>
          <w:szCs w:val="22"/>
        </w:rPr>
        <w:t>plnění termínů realizace</w:t>
      </w:r>
      <w:r w:rsidR="00EA2009">
        <w:rPr>
          <w:rFonts w:cs="Arial"/>
          <w:b/>
          <w:sz w:val="22"/>
          <w:szCs w:val="22"/>
        </w:rPr>
        <w:t xml:space="preserve"> </w:t>
      </w:r>
      <w:r w:rsidR="004148CA" w:rsidRPr="00EA2009">
        <w:rPr>
          <w:rFonts w:cs="Arial"/>
          <w:b/>
          <w:sz w:val="22"/>
          <w:szCs w:val="22"/>
        </w:rPr>
        <w:t xml:space="preserve">vykazuje </w:t>
      </w:r>
      <w:r w:rsidR="00B13780">
        <w:rPr>
          <w:rFonts w:cs="Arial"/>
          <w:b/>
          <w:sz w:val="22"/>
          <w:szCs w:val="22"/>
        </w:rPr>
        <w:t xml:space="preserve"> dle původního harmonogramu projektu </w:t>
      </w:r>
      <w:r w:rsidR="004148CA" w:rsidRPr="00EA2009">
        <w:rPr>
          <w:rFonts w:cs="Arial"/>
          <w:b/>
          <w:sz w:val="22"/>
          <w:szCs w:val="22"/>
        </w:rPr>
        <w:t>zvýšené riziko nedokončení v řádném termínu</w:t>
      </w:r>
      <w:r w:rsidR="00EA2009">
        <w:rPr>
          <w:rFonts w:cs="Arial"/>
          <w:b/>
          <w:sz w:val="22"/>
          <w:szCs w:val="22"/>
        </w:rPr>
        <w:t>).</w:t>
      </w:r>
      <w:r w:rsidR="004148CA" w:rsidRPr="00EA2009">
        <w:rPr>
          <w:rFonts w:cs="Arial"/>
          <w:b/>
          <w:sz w:val="22"/>
          <w:szCs w:val="22"/>
        </w:rPr>
        <w:t>.</w:t>
      </w:r>
      <w:r w:rsidR="004148CA">
        <w:rPr>
          <w:rFonts w:cs="Arial"/>
          <w:sz w:val="22"/>
          <w:szCs w:val="22"/>
        </w:rPr>
        <w:t xml:space="preserve"> Jednotlivá kritéria definující rizikovost </w:t>
      </w:r>
      <w:r w:rsidR="00735C0E">
        <w:rPr>
          <w:rFonts w:cs="Arial"/>
          <w:sz w:val="22"/>
          <w:szCs w:val="22"/>
        </w:rPr>
        <w:t>projektu</w:t>
      </w:r>
      <w:r w:rsidR="00897B87">
        <w:rPr>
          <w:rFonts w:cs="Arial"/>
          <w:sz w:val="22"/>
          <w:szCs w:val="22"/>
        </w:rPr>
        <w:t xml:space="preserve"> jsou uvedena</w:t>
      </w:r>
      <w:r w:rsidR="004148CA">
        <w:rPr>
          <w:rFonts w:cs="Arial"/>
          <w:sz w:val="22"/>
          <w:szCs w:val="22"/>
        </w:rPr>
        <w:t xml:space="preserve"> v příloze č.</w:t>
      </w:r>
      <w:r w:rsidR="00770E9F">
        <w:rPr>
          <w:rFonts w:cs="Arial"/>
          <w:sz w:val="22"/>
          <w:szCs w:val="22"/>
        </w:rPr>
        <w:t>2</w:t>
      </w:r>
      <w:r w:rsidR="004148CA">
        <w:rPr>
          <w:rFonts w:cs="Arial"/>
          <w:sz w:val="22"/>
          <w:szCs w:val="22"/>
        </w:rPr>
        <w:t xml:space="preserve">materiálu. </w:t>
      </w:r>
      <w:r w:rsidR="00E71230" w:rsidRPr="00A97BD8">
        <w:rPr>
          <w:rFonts w:cs="Arial"/>
          <w:sz w:val="22"/>
          <w:szCs w:val="22"/>
        </w:rPr>
        <w:t xml:space="preserve"> </w:t>
      </w:r>
      <w:r w:rsidR="00A22FD1">
        <w:rPr>
          <w:rFonts w:cs="Arial"/>
          <w:sz w:val="22"/>
          <w:szCs w:val="22"/>
        </w:rPr>
        <w:br/>
      </w:r>
      <w:r w:rsidR="0081502F" w:rsidRPr="0081502F">
        <w:rPr>
          <w:rFonts w:cs="Arial"/>
          <w:sz w:val="22"/>
          <w:szCs w:val="22"/>
        </w:rPr>
        <w:t xml:space="preserve">S ohledem na blížící se konec programového období vyvstává u mnohých </w:t>
      </w:r>
      <w:r w:rsidR="005D6B9D" w:rsidRPr="0081502F">
        <w:rPr>
          <w:rFonts w:cs="Arial"/>
          <w:sz w:val="22"/>
          <w:szCs w:val="22"/>
        </w:rPr>
        <w:t>projektů zařazených</w:t>
      </w:r>
      <w:r w:rsidR="0081502F" w:rsidRPr="0081502F">
        <w:rPr>
          <w:rFonts w:cs="Arial"/>
          <w:sz w:val="22"/>
          <w:szCs w:val="22"/>
        </w:rPr>
        <w:t xml:space="preserve"> mezi vysoce rizikové nebo rizikové problém s nulovou časovou rezervou </w:t>
      </w:r>
      <w:r w:rsidR="00A22FD1">
        <w:rPr>
          <w:rFonts w:cs="Arial"/>
          <w:sz w:val="22"/>
          <w:szCs w:val="22"/>
        </w:rPr>
        <w:br/>
      </w:r>
      <w:r w:rsidR="0081502F" w:rsidRPr="0081502F">
        <w:rPr>
          <w:rFonts w:cs="Arial"/>
          <w:sz w:val="22"/>
          <w:szCs w:val="22"/>
        </w:rPr>
        <w:t xml:space="preserve">v případě zdržení oproti harmonogramu, </w:t>
      </w:r>
      <w:r w:rsidR="000309EA">
        <w:rPr>
          <w:rFonts w:cs="Arial"/>
          <w:sz w:val="22"/>
          <w:szCs w:val="22"/>
        </w:rPr>
        <w:t xml:space="preserve">nebo </w:t>
      </w:r>
      <w:r w:rsidR="00A22FD1">
        <w:rPr>
          <w:rFonts w:cs="Arial"/>
          <w:sz w:val="22"/>
          <w:szCs w:val="22"/>
        </w:rPr>
        <w:t xml:space="preserve">v </w:t>
      </w:r>
      <w:r w:rsidR="0081502F" w:rsidRPr="0081502F">
        <w:rPr>
          <w:rFonts w:cs="Arial"/>
          <w:sz w:val="22"/>
          <w:szCs w:val="22"/>
        </w:rPr>
        <w:t>přípa</w:t>
      </w:r>
      <w:r w:rsidR="00A22FD1">
        <w:rPr>
          <w:rFonts w:cs="Arial"/>
          <w:sz w:val="22"/>
          <w:szCs w:val="22"/>
        </w:rPr>
        <w:t>dě</w:t>
      </w:r>
      <w:r w:rsidR="0081502F" w:rsidRPr="0081502F">
        <w:rPr>
          <w:rFonts w:cs="Arial"/>
          <w:sz w:val="22"/>
          <w:szCs w:val="22"/>
        </w:rPr>
        <w:t xml:space="preserve"> nutnosti opakovat </w:t>
      </w:r>
      <w:r w:rsidR="005E1A27">
        <w:rPr>
          <w:rFonts w:cs="Arial"/>
          <w:sz w:val="22"/>
          <w:szCs w:val="22"/>
        </w:rPr>
        <w:t>zadávací řízení</w:t>
      </w:r>
      <w:r w:rsidR="00FD5C7E">
        <w:rPr>
          <w:rFonts w:cs="Arial"/>
          <w:sz w:val="22"/>
          <w:szCs w:val="22"/>
        </w:rPr>
        <w:t>. Z</w:t>
      </w:r>
      <w:r>
        <w:rPr>
          <w:rFonts w:cs="Arial"/>
          <w:sz w:val="22"/>
          <w:szCs w:val="22"/>
        </w:rPr>
        <w:t> tohoto důvodu</w:t>
      </w:r>
      <w:r w:rsidR="00FD5C7E">
        <w:rPr>
          <w:rFonts w:cs="Arial"/>
          <w:sz w:val="22"/>
          <w:szCs w:val="22"/>
        </w:rPr>
        <w:t>,</w:t>
      </w:r>
      <w:r>
        <w:rPr>
          <w:rFonts w:cs="Arial"/>
          <w:sz w:val="22"/>
          <w:szCs w:val="22"/>
        </w:rPr>
        <w:t xml:space="preserve"> a zejména s ohledem na konečný termín způsobilosti výdajů</w:t>
      </w:r>
      <w:r w:rsidR="00C84D10">
        <w:rPr>
          <w:rFonts w:cs="Arial"/>
          <w:sz w:val="22"/>
          <w:szCs w:val="22"/>
        </w:rPr>
        <w:t xml:space="preserve"> k </w:t>
      </w:r>
      <w:r w:rsidR="00030C1A">
        <w:rPr>
          <w:rFonts w:cs="Arial"/>
          <w:sz w:val="22"/>
          <w:szCs w:val="22"/>
        </w:rPr>
        <w:t>31. 12. 2015</w:t>
      </w:r>
      <w:r w:rsidR="00FD5C7E">
        <w:rPr>
          <w:rFonts w:cs="Arial"/>
          <w:sz w:val="22"/>
          <w:szCs w:val="22"/>
        </w:rPr>
        <w:t>,</w:t>
      </w:r>
      <w:r>
        <w:rPr>
          <w:rFonts w:cs="Arial"/>
          <w:sz w:val="22"/>
          <w:szCs w:val="22"/>
        </w:rPr>
        <w:t xml:space="preserve"> již nebudou možné žádné další alternativy </w:t>
      </w:r>
      <w:r w:rsidR="00FD5C7E">
        <w:rPr>
          <w:rFonts w:cs="Arial"/>
          <w:sz w:val="22"/>
          <w:szCs w:val="22"/>
        </w:rPr>
        <w:t>řešení situace u těch projektů, k</w:t>
      </w:r>
      <w:r>
        <w:rPr>
          <w:rFonts w:cs="Arial"/>
          <w:sz w:val="22"/>
          <w:szCs w:val="22"/>
        </w:rPr>
        <w:t xml:space="preserve">de bude nutné například opakovat </w:t>
      </w:r>
      <w:r w:rsidR="005E1A27">
        <w:rPr>
          <w:rFonts w:cs="Arial"/>
          <w:sz w:val="22"/>
          <w:szCs w:val="22"/>
        </w:rPr>
        <w:t>zadávací řízení</w:t>
      </w:r>
      <w:r>
        <w:rPr>
          <w:rFonts w:cs="Arial"/>
          <w:sz w:val="22"/>
          <w:szCs w:val="22"/>
        </w:rPr>
        <w:t xml:space="preserve">, dojde ke zdržení dodávky služeb od dodavatele, reklamačních řízení apod. </w:t>
      </w:r>
    </w:p>
    <w:p w:rsidR="00CD062C" w:rsidRPr="00111D78" w:rsidRDefault="000F4C4A" w:rsidP="00111D78">
      <w:pPr>
        <w:pStyle w:val="Nadpis2"/>
        <w:numPr>
          <w:ilvl w:val="0"/>
          <w:numId w:val="3"/>
        </w:numPr>
      </w:pPr>
      <w:r w:rsidRPr="00111D78">
        <w:t xml:space="preserve">Aktuální stav </w:t>
      </w:r>
      <w:r w:rsidR="004A1B9E">
        <w:t>– celkový přehled</w:t>
      </w:r>
    </w:p>
    <w:p w:rsidR="00597D78" w:rsidRPr="00CF466D" w:rsidRDefault="00597D78" w:rsidP="00CF466D">
      <w:pPr>
        <w:tabs>
          <w:tab w:val="decimal" w:pos="1985"/>
          <w:tab w:val="decimal" w:pos="3969"/>
          <w:tab w:val="left" w:pos="5812"/>
          <w:tab w:val="left" w:pos="8364"/>
        </w:tabs>
        <w:spacing w:line="276" w:lineRule="auto"/>
        <w:jc w:val="both"/>
        <w:rPr>
          <w:rFonts w:cs="Arial"/>
          <w:sz w:val="22"/>
          <w:szCs w:val="22"/>
        </w:rPr>
      </w:pPr>
    </w:p>
    <w:p w:rsidR="00CD062C" w:rsidRPr="00736E6D" w:rsidRDefault="00CD062C" w:rsidP="00EB5689">
      <w:pPr>
        <w:tabs>
          <w:tab w:val="decimal" w:pos="1985"/>
          <w:tab w:val="decimal" w:pos="3969"/>
          <w:tab w:val="left" w:pos="5812"/>
          <w:tab w:val="left" w:pos="8364"/>
        </w:tabs>
        <w:spacing w:line="276" w:lineRule="auto"/>
        <w:jc w:val="both"/>
        <w:rPr>
          <w:rFonts w:cs="Arial"/>
          <w:sz w:val="22"/>
          <w:szCs w:val="22"/>
        </w:rPr>
      </w:pPr>
      <w:r w:rsidRPr="00736E6D">
        <w:rPr>
          <w:rFonts w:cs="Arial"/>
          <w:sz w:val="22"/>
          <w:szCs w:val="22"/>
        </w:rPr>
        <w:t>Na základě pravidelného vyhodnocení</w:t>
      </w:r>
      <w:r w:rsidR="00D04113" w:rsidRPr="00736E6D">
        <w:rPr>
          <w:rFonts w:cs="Arial"/>
          <w:sz w:val="22"/>
          <w:szCs w:val="22"/>
        </w:rPr>
        <w:t>,</w:t>
      </w:r>
      <w:r w:rsidRPr="00736E6D">
        <w:rPr>
          <w:rFonts w:cs="Arial"/>
          <w:sz w:val="22"/>
          <w:szCs w:val="22"/>
        </w:rPr>
        <w:t xml:space="preserve"> provedené</w:t>
      </w:r>
      <w:r w:rsidR="00D04113" w:rsidRPr="00736E6D">
        <w:rPr>
          <w:rFonts w:cs="Arial"/>
          <w:sz w:val="22"/>
          <w:szCs w:val="22"/>
        </w:rPr>
        <w:t>ho</w:t>
      </w:r>
      <w:r w:rsidRPr="00736E6D">
        <w:rPr>
          <w:rFonts w:cs="Arial"/>
          <w:sz w:val="22"/>
          <w:szCs w:val="22"/>
        </w:rPr>
        <w:t xml:space="preserve"> jednotlivými zprostředkujícími subjek</w:t>
      </w:r>
      <w:r w:rsidR="00881E8B" w:rsidRPr="00736E6D">
        <w:rPr>
          <w:rFonts w:cs="Arial"/>
          <w:sz w:val="22"/>
          <w:szCs w:val="22"/>
        </w:rPr>
        <w:t xml:space="preserve">ty </w:t>
      </w:r>
      <w:r w:rsidR="00FD5C7E">
        <w:rPr>
          <w:rFonts w:cs="Arial"/>
          <w:sz w:val="22"/>
          <w:szCs w:val="22"/>
        </w:rPr>
        <w:t xml:space="preserve">IOP </w:t>
      </w:r>
      <w:r w:rsidR="00881E8B" w:rsidRPr="00736E6D">
        <w:rPr>
          <w:rFonts w:cs="Arial"/>
          <w:sz w:val="22"/>
          <w:szCs w:val="22"/>
        </w:rPr>
        <w:t>a po kontrole ŘO</w:t>
      </w:r>
      <w:r w:rsidRPr="00736E6D">
        <w:rPr>
          <w:rFonts w:cs="Arial"/>
          <w:sz w:val="22"/>
          <w:szCs w:val="22"/>
        </w:rPr>
        <w:t xml:space="preserve"> IOP</w:t>
      </w:r>
      <w:r w:rsidR="00897B87">
        <w:rPr>
          <w:rFonts w:cs="Arial"/>
          <w:sz w:val="22"/>
          <w:szCs w:val="22"/>
        </w:rPr>
        <w:t>,</w:t>
      </w:r>
      <w:r w:rsidR="00C1137F">
        <w:rPr>
          <w:rFonts w:cs="Arial"/>
          <w:sz w:val="22"/>
          <w:szCs w:val="22"/>
        </w:rPr>
        <w:t xml:space="preserve"> </w:t>
      </w:r>
      <w:r w:rsidR="00C4330D" w:rsidRPr="00736E6D">
        <w:rPr>
          <w:rFonts w:cs="Arial"/>
          <w:sz w:val="22"/>
          <w:szCs w:val="22"/>
        </w:rPr>
        <w:t>byl</w:t>
      </w:r>
      <w:r w:rsidR="00FD06FC">
        <w:rPr>
          <w:rFonts w:cs="Arial"/>
          <w:sz w:val="22"/>
          <w:szCs w:val="22"/>
        </w:rPr>
        <w:t>o</w:t>
      </w:r>
      <w:r w:rsidR="00C4330D">
        <w:rPr>
          <w:rFonts w:cs="Arial"/>
          <w:sz w:val="22"/>
          <w:szCs w:val="22"/>
        </w:rPr>
        <w:t xml:space="preserve"> </w:t>
      </w:r>
      <w:r w:rsidR="00C4330D" w:rsidRPr="00736E6D">
        <w:rPr>
          <w:rFonts w:cs="Arial"/>
          <w:sz w:val="22"/>
          <w:szCs w:val="22"/>
        </w:rPr>
        <w:t>k</w:t>
      </w:r>
      <w:r w:rsidR="00C4330D">
        <w:rPr>
          <w:rFonts w:cs="Arial"/>
          <w:sz w:val="22"/>
          <w:szCs w:val="22"/>
        </w:rPr>
        <w:t> </w:t>
      </w:r>
      <w:r w:rsidR="000309EA">
        <w:rPr>
          <w:rFonts w:cs="Arial"/>
          <w:sz w:val="22"/>
          <w:szCs w:val="22"/>
        </w:rPr>
        <w:t>1</w:t>
      </w:r>
      <w:r w:rsidR="00C4330D">
        <w:rPr>
          <w:rFonts w:cs="Arial"/>
          <w:sz w:val="22"/>
          <w:szCs w:val="22"/>
        </w:rPr>
        <w:t xml:space="preserve">. </w:t>
      </w:r>
      <w:r w:rsidR="00FD06FC">
        <w:rPr>
          <w:rFonts w:cs="Arial"/>
          <w:sz w:val="22"/>
          <w:szCs w:val="22"/>
        </w:rPr>
        <w:t>7</w:t>
      </w:r>
      <w:r w:rsidR="00C4330D">
        <w:rPr>
          <w:rFonts w:cs="Arial"/>
          <w:sz w:val="22"/>
          <w:szCs w:val="22"/>
        </w:rPr>
        <w:t>. 201</w:t>
      </w:r>
      <w:r w:rsidR="00124BBF">
        <w:rPr>
          <w:rFonts w:cs="Arial"/>
          <w:sz w:val="22"/>
          <w:szCs w:val="22"/>
        </w:rPr>
        <w:t>5</w:t>
      </w:r>
      <w:r w:rsidRPr="00736E6D">
        <w:rPr>
          <w:rFonts w:cs="Arial"/>
          <w:sz w:val="22"/>
          <w:szCs w:val="22"/>
        </w:rPr>
        <w:t xml:space="preserve"> evidován</w:t>
      </w:r>
      <w:r w:rsidR="00FD06FC">
        <w:rPr>
          <w:rFonts w:cs="Arial"/>
          <w:sz w:val="22"/>
          <w:szCs w:val="22"/>
        </w:rPr>
        <w:t>o</w:t>
      </w:r>
      <w:r w:rsidRPr="00736E6D">
        <w:rPr>
          <w:rFonts w:cs="Arial"/>
          <w:sz w:val="22"/>
          <w:szCs w:val="22"/>
        </w:rPr>
        <w:t xml:space="preserve"> </w:t>
      </w:r>
      <w:r w:rsidR="005D6B9D">
        <w:rPr>
          <w:rFonts w:cs="Arial"/>
          <w:sz w:val="22"/>
          <w:szCs w:val="22"/>
        </w:rPr>
        <w:t>47</w:t>
      </w:r>
      <w:r w:rsidR="00F53E32" w:rsidRPr="00736E6D">
        <w:rPr>
          <w:rFonts w:cs="Arial"/>
          <w:sz w:val="22"/>
          <w:szCs w:val="22"/>
        </w:rPr>
        <w:t xml:space="preserve"> </w:t>
      </w:r>
      <w:r w:rsidRPr="00736E6D">
        <w:rPr>
          <w:rFonts w:cs="Arial"/>
          <w:sz w:val="22"/>
          <w:szCs w:val="22"/>
        </w:rPr>
        <w:t xml:space="preserve">vysoce rizikových </w:t>
      </w:r>
      <w:r w:rsidR="00DE5666" w:rsidRPr="00736E6D">
        <w:rPr>
          <w:rFonts w:cs="Arial"/>
          <w:sz w:val="22"/>
          <w:szCs w:val="22"/>
        </w:rPr>
        <w:t xml:space="preserve">projektů </w:t>
      </w:r>
      <w:r w:rsidR="00B10BE1" w:rsidRPr="00736E6D">
        <w:rPr>
          <w:rFonts w:cs="Arial"/>
          <w:sz w:val="22"/>
          <w:szCs w:val="22"/>
        </w:rPr>
        <w:t xml:space="preserve">v hodnotě </w:t>
      </w:r>
      <w:r w:rsidR="00897B87">
        <w:rPr>
          <w:rFonts w:cs="Arial"/>
          <w:sz w:val="22"/>
          <w:szCs w:val="22"/>
        </w:rPr>
        <w:t>cca</w:t>
      </w:r>
      <w:r w:rsidR="008A21D2">
        <w:rPr>
          <w:rFonts w:cs="Arial"/>
          <w:sz w:val="22"/>
          <w:szCs w:val="22"/>
        </w:rPr>
        <w:t xml:space="preserve"> </w:t>
      </w:r>
      <w:r w:rsidR="005D6B9D">
        <w:rPr>
          <w:rFonts w:cs="Arial"/>
          <w:sz w:val="22"/>
          <w:szCs w:val="22"/>
        </w:rPr>
        <w:t>6</w:t>
      </w:r>
      <w:r w:rsidR="008A21D2">
        <w:rPr>
          <w:rFonts w:cs="Arial"/>
          <w:sz w:val="22"/>
          <w:szCs w:val="22"/>
        </w:rPr>
        <w:t xml:space="preserve"> mld.</w:t>
      </w:r>
      <w:r w:rsidRPr="00736E6D">
        <w:rPr>
          <w:rFonts w:cs="Arial"/>
          <w:sz w:val="22"/>
          <w:szCs w:val="22"/>
        </w:rPr>
        <w:t xml:space="preserve"> Kč.</w:t>
      </w:r>
      <w:r w:rsidR="00FD06FC">
        <w:rPr>
          <w:rFonts w:cs="Arial"/>
          <w:sz w:val="22"/>
          <w:szCs w:val="22"/>
        </w:rPr>
        <w:t xml:space="preserve"> Na rozdíl od předchozí sestavy k dubnu 2015 již k 1. 7. 2015 nebyl identifikován žádný spící projekt.</w:t>
      </w:r>
      <w:r w:rsidRPr="00736E6D">
        <w:rPr>
          <w:rFonts w:cs="Arial"/>
          <w:sz w:val="22"/>
          <w:szCs w:val="22"/>
        </w:rPr>
        <w:t xml:space="preserve"> </w:t>
      </w:r>
      <w:r w:rsidR="00D35AD7" w:rsidRPr="00736E6D">
        <w:rPr>
          <w:rFonts w:cs="Arial"/>
          <w:sz w:val="22"/>
          <w:szCs w:val="22"/>
        </w:rPr>
        <w:t xml:space="preserve">ŘO IOP </w:t>
      </w:r>
      <w:r w:rsidR="000C0A9F">
        <w:rPr>
          <w:rFonts w:cs="Arial"/>
          <w:sz w:val="22"/>
          <w:szCs w:val="22"/>
        </w:rPr>
        <w:t>ve spolupráci se ZS IOP</w:t>
      </w:r>
      <w:r w:rsidR="00551D29">
        <w:rPr>
          <w:rFonts w:cs="Arial"/>
          <w:sz w:val="22"/>
          <w:szCs w:val="22"/>
        </w:rPr>
        <w:t xml:space="preserve"> také</w:t>
      </w:r>
      <w:r w:rsidR="000C0A9F">
        <w:rPr>
          <w:rFonts w:cs="Arial"/>
          <w:sz w:val="22"/>
          <w:szCs w:val="22"/>
        </w:rPr>
        <w:t xml:space="preserve"> </w:t>
      </w:r>
      <w:r w:rsidR="00FD06FC">
        <w:rPr>
          <w:rFonts w:cs="Arial"/>
          <w:sz w:val="22"/>
          <w:szCs w:val="22"/>
        </w:rPr>
        <w:t xml:space="preserve">detailně </w:t>
      </w:r>
      <w:r w:rsidR="00736E6D">
        <w:rPr>
          <w:rFonts w:cs="Arial"/>
          <w:sz w:val="22"/>
          <w:szCs w:val="22"/>
        </w:rPr>
        <w:t xml:space="preserve">sleduje stav </w:t>
      </w:r>
      <w:r w:rsidR="00897B87" w:rsidRPr="00736E6D">
        <w:rPr>
          <w:rFonts w:cs="Arial"/>
          <w:sz w:val="22"/>
          <w:szCs w:val="22"/>
        </w:rPr>
        <w:t>rizikov</w:t>
      </w:r>
      <w:r w:rsidR="00897B87">
        <w:rPr>
          <w:rFonts w:cs="Arial"/>
          <w:sz w:val="22"/>
          <w:szCs w:val="22"/>
        </w:rPr>
        <w:t>ých</w:t>
      </w:r>
      <w:r w:rsidR="00897B87" w:rsidRPr="00736E6D">
        <w:rPr>
          <w:rFonts w:cs="Arial"/>
          <w:sz w:val="22"/>
          <w:szCs w:val="22"/>
        </w:rPr>
        <w:t xml:space="preserve"> </w:t>
      </w:r>
      <w:r w:rsidR="007B4C2B" w:rsidRPr="00736E6D">
        <w:rPr>
          <w:rFonts w:cs="Arial"/>
          <w:sz w:val="22"/>
          <w:szCs w:val="22"/>
        </w:rPr>
        <w:t>projektů</w:t>
      </w:r>
      <w:r w:rsidR="00D02772" w:rsidRPr="00736E6D">
        <w:rPr>
          <w:rFonts w:cs="Arial"/>
          <w:sz w:val="22"/>
          <w:szCs w:val="22"/>
        </w:rPr>
        <w:t xml:space="preserve"> </w:t>
      </w:r>
      <w:r w:rsidR="002B3B09" w:rsidRPr="00736E6D">
        <w:rPr>
          <w:rFonts w:cs="Arial"/>
          <w:sz w:val="22"/>
          <w:szCs w:val="22"/>
        </w:rPr>
        <w:t>(projekty s</w:t>
      </w:r>
      <w:r w:rsidR="00A54025">
        <w:rPr>
          <w:rFonts w:cs="Arial"/>
          <w:sz w:val="22"/>
          <w:szCs w:val="22"/>
        </w:rPr>
        <w:t xml:space="preserve"> minimálně </w:t>
      </w:r>
      <w:r w:rsidR="002B3B09" w:rsidRPr="00736E6D">
        <w:rPr>
          <w:rFonts w:cs="Arial"/>
          <w:sz w:val="22"/>
          <w:szCs w:val="22"/>
        </w:rPr>
        <w:t xml:space="preserve">dvěma rizikovými </w:t>
      </w:r>
      <w:r w:rsidR="00F66FF4" w:rsidRPr="00736E6D">
        <w:rPr>
          <w:rFonts w:cs="Arial"/>
          <w:sz w:val="22"/>
          <w:szCs w:val="22"/>
        </w:rPr>
        <w:t>parametry)</w:t>
      </w:r>
      <w:r w:rsidR="007133B8">
        <w:rPr>
          <w:rFonts w:cs="Arial"/>
          <w:sz w:val="22"/>
          <w:szCs w:val="22"/>
        </w:rPr>
        <w:t>,</w:t>
      </w:r>
      <w:r w:rsidR="00F66FF4" w:rsidRPr="00736E6D">
        <w:rPr>
          <w:rFonts w:cs="Arial"/>
          <w:sz w:val="22"/>
          <w:szCs w:val="22"/>
        </w:rPr>
        <w:t xml:space="preserve"> </w:t>
      </w:r>
      <w:r w:rsidR="000F2F2D">
        <w:rPr>
          <w:rFonts w:cs="Arial"/>
          <w:sz w:val="22"/>
          <w:szCs w:val="22"/>
        </w:rPr>
        <w:t>kdy</w:t>
      </w:r>
      <w:r w:rsidR="00D02772" w:rsidRPr="00736E6D">
        <w:rPr>
          <w:rFonts w:cs="Arial"/>
          <w:sz w:val="22"/>
          <w:szCs w:val="22"/>
        </w:rPr>
        <w:t xml:space="preserve"> </w:t>
      </w:r>
      <w:r w:rsidR="006C0D73" w:rsidRPr="00736E6D">
        <w:rPr>
          <w:rFonts w:cs="Arial"/>
          <w:sz w:val="22"/>
          <w:szCs w:val="22"/>
        </w:rPr>
        <w:t>bylo</w:t>
      </w:r>
      <w:r w:rsidR="00FD06FC">
        <w:rPr>
          <w:rFonts w:cs="Arial"/>
          <w:sz w:val="22"/>
          <w:szCs w:val="22"/>
        </w:rPr>
        <w:t xml:space="preserve"> aktuálně</w:t>
      </w:r>
      <w:r w:rsidR="006C0D73" w:rsidRPr="00736E6D">
        <w:rPr>
          <w:rFonts w:cs="Arial"/>
          <w:sz w:val="22"/>
          <w:szCs w:val="22"/>
        </w:rPr>
        <w:t xml:space="preserve"> </w:t>
      </w:r>
      <w:r w:rsidR="006B3495" w:rsidRPr="00736E6D">
        <w:rPr>
          <w:rFonts w:cs="Arial"/>
          <w:sz w:val="22"/>
          <w:szCs w:val="22"/>
        </w:rPr>
        <w:t>identifikován</w:t>
      </w:r>
      <w:r w:rsidR="002D4FEE" w:rsidRPr="00736E6D">
        <w:rPr>
          <w:rFonts w:cs="Arial"/>
          <w:sz w:val="22"/>
          <w:szCs w:val="22"/>
        </w:rPr>
        <w:t>o</w:t>
      </w:r>
      <w:r w:rsidR="006B3495" w:rsidRPr="00736E6D">
        <w:rPr>
          <w:rFonts w:cs="Arial"/>
          <w:sz w:val="22"/>
          <w:szCs w:val="22"/>
        </w:rPr>
        <w:t xml:space="preserve"> </w:t>
      </w:r>
      <w:r w:rsidR="00252871">
        <w:rPr>
          <w:rFonts w:cs="Arial"/>
          <w:sz w:val="22"/>
          <w:szCs w:val="22"/>
        </w:rPr>
        <w:t>89</w:t>
      </w:r>
      <w:r w:rsidR="007133B8" w:rsidRPr="00736E6D">
        <w:rPr>
          <w:rFonts w:cs="Arial"/>
          <w:sz w:val="22"/>
          <w:szCs w:val="22"/>
        </w:rPr>
        <w:t xml:space="preserve"> </w:t>
      </w:r>
      <w:r w:rsidR="00A22FD1" w:rsidRPr="00736E6D">
        <w:rPr>
          <w:rFonts w:cs="Arial"/>
          <w:sz w:val="22"/>
          <w:szCs w:val="22"/>
        </w:rPr>
        <w:t xml:space="preserve">rizikových </w:t>
      </w:r>
      <w:r w:rsidR="00897B87" w:rsidRPr="00736E6D">
        <w:rPr>
          <w:rFonts w:cs="Arial"/>
          <w:sz w:val="22"/>
          <w:szCs w:val="22"/>
        </w:rPr>
        <w:t xml:space="preserve">projektů </w:t>
      </w:r>
      <w:r w:rsidR="006B3495" w:rsidRPr="00736E6D">
        <w:rPr>
          <w:rFonts w:cs="Arial"/>
          <w:sz w:val="22"/>
          <w:szCs w:val="22"/>
        </w:rPr>
        <w:t>v</w:t>
      </w:r>
      <w:r w:rsidR="00790EEE" w:rsidRPr="00736E6D">
        <w:rPr>
          <w:rFonts w:cs="Arial"/>
          <w:sz w:val="22"/>
          <w:szCs w:val="22"/>
        </w:rPr>
        <w:t> </w:t>
      </w:r>
      <w:r w:rsidR="006B3495" w:rsidRPr="00736E6D">
        <w:rPr>
          <w:rFonts w:cs="Arial"/>
          <w:sz w:val="22"/>
          <w:szCs w:val="22"/>
        </w:rPr>
        <w:t>hodnotě</w:t>
      </w:r>
      <w:r w:rsidR="00790EEE" w:rsidRPr="00736E6D">
        <w:rPr>
          <w:rFonts w:cs="Arial"/>
          <w:sz w:val="22"/>
          <w:szCs w:val="22"/>
        </w:rPr>
        <w:t xml:space="preserve"> </w:t>
      </w:r>
      <w:r w:rsidR="000C79A7">
        <w:rPr>
          <w:rFonts w:cs="Arial"/>
          <w:sz w:val="22"/>
          <w:szCs w:val="22"/>
        </w:rPr>
        <w:t xml:space="preserve">přesahující </w:t>
      </w:r>
      <w:r w:rsidR="000F23CD">
        <w:rPr>
          <w:rFonts w:cs="Arial"/>
          <w:sz w:val="22"/>
          <w:szCs w:val="22"/>
        </w:rPr>
        <w:t>2,8</w:t>
      </w:r>
      <w:r w:rsidR="00512A4E">
        <w:rPr>
          <w:rFonts w:cs="Arial"/>
          <w:sz w:val="22"/>
          <w:szCs w:val="22"/>
        </w:rPr>
        <w:t xml:space="preserve"> mld.</w:t>
      </w:r>
      <w:r w:rsidR="00D62FB2" w:rsidRPr="00736E6D">
        <w:rPr>
          <w:rFonts w:cs="Arial"/>
          <w:sz w:val="22"/>
          <w:szCs w:val="22"/>
        </w:rPr>
        <w:t xml:space="preserve"> Kč.</w:t>
      </w:r>
      <w:r w:rsidR="002B3B09" w:rsidRPr="00736E6D">
        <w:rPr>
          <w:rFonts w:cs="Arial"/>
          <w:sz w:val="22"/>
          <w:szCs w:val="22"/>
        </w:rPr>
        <w:t xml:space="preserve"> Identifikace rizikových projektů je nezbytn</w:t>
      </w:r>
      <w:r w:rsidR="00D04113" w:rsidRPr="00736E6D">
        <w:rPr>
          <w:rFonts w:cs="Arial"/>
          <w:sz w:val="22"/>
          <w:szCs w:val="22"/>
        </w:rPr>
        <w:t>á</w:t>
      </w:r>
      <w:r w:rsidR="002B3B09" w:rsidRPr="00736E6D">
        <w:rPr>
          <w:rFonts w:cs="Arial"/>
          <w:sz w:val="22"/>
          <w:szCs w:val="22"/>
        </w:rPr>
        <w:t xml:space="preserve"> z hlediska </w:t>
      </w:r>
      <w:r w:rsidR="00A81307">
        <w:rPr>
          <w:rFonts w:cs="Arial"/>
          <w:sz w:val="22"/>
          <w:szCs w:val="22"/>
        </w:rPr>
        <w:t>možného</w:t>
      </w:r>
      <w:r w:rsidR="00512A4E">
        <w:rPr>
          <w:rFonts w:cs="Arial"/>
          <w:sz w:val="22"/>
          <w:szCs w:val="22"/>
        </w:rPr>
        <w:t xml:space="preserve"> </w:t>
      </w:r>
      <w:r w:rsidR="007133B8">
        <w:rPr>
          <w:rFonts w:cs="Arial"/>
          <w:sz w:val="22"/>
          <w:szCs w:val="22"/>
        </w:rPr>
        <w:t>posunu</w:t>
      </w:r>
      <w:r w:rsidR="00A81307">
        <w:rPr>
          <w:rFonts w:cs="Arial"/>
          <w:sz w:val="22"/>
          <w:szCs w:val="22"/>
        </w:rPr>
        <w:t xml:space="preserve"> těchto </w:t>
      </w:r>
      <w:r w:rsidR="00A22FD1">
        <w:rPr>
          <w:rFonts w:cs="Arial"/>
          <w:sz w:val="22"/>
          <w:szCs w:val="22"/>
        </w:rPr>
        <w:t xml:space="preserve">projektů </w:t>
      </w:r>
      <w:r w:rsidR="002B3B09" w:rsidRPr="00736E6D">
        <w:rPr>
          <w:rFonts w:cs="Arial"/>
          <w:sz w:val="22"/>
          <w:szCs w:val="22"/>
        </w:rPr>
        <w:t xml:space="preserve">do kategorií vysoce rizikových a spících projektů. ŘO IOP a jednotlivé </w:t>
      </w:r>
      <w:r w:rsidR="008B2450" w:rsidRPr="00736E6D">
        <w:rPr>
          <w:rFonts w:cs="Arial"/>
          <w:sz w:val="22"/>
          <w:szCs w:val="22"/>
        </w:rPr>
        <w:t>z</w:t>
      </w:r>
      <w:r w:rsidR="002B3B09" w:rsidRPr="00736E6D">
        <w:rPr>
          <w:rFonts w:cs="Arial"/>
          <w:sz w:val="22"/>
          <w:szCs w:val="22"/>
        </w:rPr>
        <w:t xml:space="preserve">prostředkující subjekty </w:t>
      </w:r>
      <w:r w:rsidR="007133B8">
        <w:rPr>
          <w:rFonts w:cs="Arial"/>
          <w:sz w:val="22"/>
          <w:szCs w:val="22"/>
        </w:rPr>
        <w:t xml:space="preserve">řeší a stanovují </w:t>
      </w:r>
      <w:r w:rsidR="002B3B09" w:rsidRPr="00736E6D">
        <w:rPr>
          <w:rFonts w:cs="Arial"/>
          <w:sz w:val="22"/>
          <w:szCs w:val="22"/>
        </w:rPr>
        <w:t xml:space="preserve">opatření </w:t>
      </w:r>
      <w:r w:rsidR="00513A01">
        <w:rPr>
          <w:rFonts w:cs="Arial"/>
          <w:sz w:val="22"/>
          <w:szCs w:val="22"/>
        </w:rPr>
        <w:t>již pro</w:t>
      </w:r>
      <w:r w:rsidR="002B3B09" w:rsidRPr="00736E6D">
        <w:rPr>
          <w:rFonts w:cs="Arial"/>
          <w:sz w:val="22"/>
          <w:szCs w:val="22"/>
        </w:rPr>
        <w:t xml:space="preserve"> projekt</w:t>
      </w:r>
      <w:r w:rsidR="00513A01">
        <w:rPr>
          <w:rFonts w:cs="Arial"/>
          <w:sz w:val="22"/>
          <w:szCs w:val="22"/>
        </w:rPr>
        <w:t>y</w:t>
      </w:r>
      <w:r w:rsidR="00CE2030">
        <w:rPr>
          <w:rFonts w:cs="Arial"/>
          <w:sz w:val="22"/>
          <w:szCs w:val="22"/>
        </w:rPr>
        <w:t xml:space="preserve"> v úrovni</w:t>
      </w:r>
      <w:r w:rsidR="00513A01">
        <w:rPr>
          <w:rFonts w:cs="Arial"/>
          <w:sz w:val="22"/>
          <w:szCs w:val="22"/>
        </w:rPr>
        <w:t xml:space="preserve"> ri</w:t>
      </w:r>
      <w:r w:rsidR="00214059" w:rsidRPr="00736E6D">
        <w:rPr>
          <w:rFonts w:cs="Arial"/>
          <w:sz w:val="22"/>
          <w:szCs w:val="22"/>
        </w:rPr>
        <w:t>zikov</w:t>
      </w:r>
      <w:r w:rsidR="00CE2030">
        <w:rPr>
          <w:rFonts w:cs="Arial"/>
          <w:sz w:val="22"/>
          <w:szCs w:val="22"/>
        </w:rPr>
        <w:t>ých projektů</w:t>
      </w:r>
      <w:r w:rsidR="00214059" w:rsidRPr="00736E6D">
        <w:rPr>
          <w:rFonts w:cs="Arial"/>
          <w:sz w:val="22"/>
          <w:szCs w:val="22"/>
        </w:rPr>
        <w:t>.</w:t>
      </w:r>
      <w:r w:rsidR="00D62FB2" w:rsidRPr="00736E6D">
        <w:rPr>
          <w:rFonts w:cs="Arial"/>
          <w:sz w:val="22"/>
          <w:szCs w:val="22"/>
        </w:rPr>
        <w:t xml:space="preserve"> </w:t>
      </w:r>
      <w:r w:rsidRPr="00736E6D">
        <w:rPr>
          <w:rFonts w:cs="Arial"/>
          <w:sz w:val="22"/>
          <w:szCs w:val="22"/>
        </w:rPr>
        <w:t>Přehled jednotlivých projektů</w:t>
      </w:r>
      <w:r w:rsidR="00A81307">
        <w:rPr>
          <w:rFonts w:cs="Arial"/>
          <w:sz w:val="22"/>
          <w:szCs w:val="22"/>
        </w:rPr>
        <w:t xml:space="preserve"> dle kategorie rizikovosti</w:t>
      </w:r>
      <w:r w:rsidRPr="00736E6D">
        <w:rPr>
          <w:rFonts w:cs="Arial"/>
          <w:sz w:val="22"/>
          <w:szCs w:val="22"/>
        </w:rPr>
        <w:t xml:space="preserve"> </w:t>
      </w:r>
      <w:r w:rsidR="00790EEE" w:rsidRPr="00736E6D">
        <w:rPr>
          <w:rFonts w:cs="Arial"/>
          <w:sz w:val="22"/>
          <w:szCs w:val="22"/>
        </w:rPr>
        <w:t>po</w:t>
      </w:r>
      <w:r w:rsidR="00230014">
        <w:rPr>
          <w:rFonts w:cs="Arial"/>
          <w:sz w:val="22"/>
          <w:szCs w:val="22"/>
        </w:rPr>
        <w:t>dle příjemce</w:t>
      </w:r>
      <w:r w:rsidRPr="00736E6D">
        <w:rPr>
          <w:rFonts w:cs="Arial"/>
          <w:sz w:val="22"/>
          <w:szCs w:val="22"/>
        </w:rPr>
        <w:t xml:space="preserve"> je uveden v následující tabulce. Detailní přehled</w:t>
      </w:r>
      <w:r w:rsidR="001B7C91" w:rsidRPr="00736E6D">
        <w:rPr>
          <w:rFonts w:cs="Arial"/>
          <w:sz w:val="22"/>
          <w:szCs w:val="22"/>
        </w:rPr>
        <w:t xml:space="preserve"> všech</w:t>
      </w:r>
      <w:r w:rsidRPr="00736E6D">
        <w:rPr>
          <w:rFonts w:cs="Arial"/>
          <w:sz w:val="22"/>
          <w:szCs w:val="22"/>
        </w:rPr>
        <w:t xml:space="preserve"> projektů </w:t>
      </w:r>
      <w:r w:rsidR="00CE2030">
        <w:rPr>
          <w:rFonts w:cs="Arial"/>
          <w:sz w:val="22"/>
          <w:szCs w:val="22"/>
        </w:rPr>
        <w:t>v jednotlivých kategoriích</w:t>
      </w:r>
      <w:r w:rsidR="00704741">
        <w:rPr>
          <w:rFonts w:cs="Arial"/>
          <w:sz w:val="22"/>
          <w:szCs w:val="22"/>
        </w:rPr>
        <w:t xml:space="preserve"> včetně popisu aktuálních problémů, které je nutné neprodleně řešit</w:t>
      </w:r>
      <w:r w:rsidR="00A50246">
        <w:rPr>
          <w:rFonts w:cs="Arial"/>
          <w:sz w:val="22"/>
          <w:szCs w:val="22"/>
        </w:rPr>
        <w:t>,</w:t>
      </w:r>
      <w:r w:rsidR="00CE2030">
        <w:rPr>
          <w:rFonts w:cs="Arial"/>
          <w:sz w:val="22"/>
          <w:szCs w:val="22"/>
        </w:rPr>
        <w:t xml:space="preserve"> </w:t>
      </w:r>
      <w:r w:rsidRPr="00736E6D">
        <w:rPr>
          <w:rFonts w:cs="Arial"/>
          <w:sz w:val="22"/>
          <w:szCs w:val="22"/>
        </w:rPr>
        <w:t xml:space="preserve">je </w:t>
      </w:r>
      <w:r w:rsidR="00230014">
        <w:rPr>
          <w:rFonts w:cs="Arial"/>
          <w:sz w:val="22"/>
          <w:szCs w:val="22"/>
        </w:rPr>
        <w:t xml:space="preserve">uveden </w:t>
      </w:r>
      <w:r w:rsidRPr="00736E6D">
        <w:rPr>
          <w:rFonts w:cs="Arial"/>
          <w:sz w:val="22"/>
          <w:szCs w:val="22"/>
        </w:rPr>
        <w:t xml:space="preserve">v příloze č. 1. </w:t>
      </w:r>
      <w:r w:rsidR="003B2994">
        <w:rPr>
          <w:rFonts w:cs="Arial"/>
          <w:sz w:val="22"/>
          <w:szCs w:val="22"/>
        </w:rPr>
        <w:t>Oproti předchozímu vyhodnocení sestavy problémových projektů k </w:t>
      </w:r>
      <w:r w:rsidR="009653F4">
        <w:rPr>
          <w:rFonts w:cs="Arial"/>
          <w:sz w:val="22"/>
          <w:szCs w:val="22"/>
        </w:rPr>
        <w:t>dubnu</w:t>
      </w:r>
      <w:r w:rsidR="003B2994">
        <w:rPr>
          <w:rFonts w:cs="Arial"/>
          <w:sz w:val="22"/>
          <w:szCs w:val="22"/>
        </w:rPr>
        <w:t xml:space="preserve"> 2015</w:t>
      </w:r>
      <w:r w:rsidR="009653F4">
        <w:rPr>
          <w:rFonts w:cs="Arial"/>
          <w:sz w:val="22"/>
          <w:szCs w:val="22"/>
        </w:rPr>
        <w:t xml:space="preserve"> tak</w:t>
      </w:r>
      <w:r w:rsidR="004B10FC">
        <w:rPr>
          <w:rFonts w:cs="Arial"/>
          <w:sz w:val="22"/>
          <w:szCs w:val="22"/>
        </w:rPr>
        <w:t xml:space="preserve"> došlo k</w:t>
      </w:r>
      <w:r w:rsidR="009653F4">
        <w:rPr>
          <w:rFonts w:cs="Arial"/>
          <w:sz w:val="22"/>
          <w:szCs w:val="22"/>
        </w:rPr>
        <w:t> </w:t>
      </w:r>
      <w:r w:rsidR="007A0F43">
        <w:rPr>
          <w:rFonts w:cs="Arial"/>
          <w:sz w:val="22"/>
          <w:szCs w:val="22"/>
        </w:rPr>
        <w:t>odstoupení</w:t>
      </w:r>
      <w:r w:rsidR="004B10FC">
        <w:rPr>
          <w:rFonts w:cs="Arial"/>
          <w:sz w:val="22"/>
          <w:szCs w:val="22"/>
        </w:rPr>
        <w:t xml:space="preserve"> </w:t>
      </w:r>
      <w:r w:rsidR="009653F4">
        <w:rPr>
          <w:rFonts w:cs="Arial"/>
          <w:sz w:val="22"/>
          <w:szCs w:val="22"/>
        </w:rPr>
        <w:t>jednoho</w:t>
      </w:r>
      <w:r w:rsidR="004B10FC">
        <w:rPr>
          <w:rFonts w:cs="Arial"/>
          <w:sz w:val="22"/>
          <w:szCs w:val="22"/>
        </w:rPr>
        <w:t xml:space="preserve"> spícíh</w:t>
      </w:r>
      <w:r w:rsidR="009653F4">
        <w:rPr>
          <w:rFonts w:cs="Arial"/>
          <w:sz w:val="22"/>
          <w:szCs w:val="22"/>
        </w:rPr>
        <w:t>o</w:t>
      </w:r>
      <w:r w:rsidR="004B10FC">
        <w:rPr>
          <w:rFonts w:cs="Arial"/>
          <w:sz w:val="22"/>
          <w:szCs w:val="22"/>
        </w:rPr>
        <w:t xml:space="preserve"> projekt</w:t>
      </w:r>
      <w:r w:rsidR="009653F4">
        <w:rPr>
          <w:rFonts w:cs="Arial"/>
          <w:sz w:val="22"/>
          <w:szCs w:val="22"/>
        </w:rPr>
        <w:t>u</w:t>
      </w:r>
      <w:r w:rsidR="00975ACA">
        <w:rPr>
          <w:rFonts w:cs="Arial"/>
          <w:sz w:val="22"/>
          <w:szCs w:val="22"/>
        </w:rPr>
        <w:t xml:space="preserve"> </w:t>
      </w:r>
      <w:r w:rsidR="004A555B">
        <w:rPr>
          <w:rFonts w:cs="Arial"/>
          <w:sz w:val="22"/>
          <w:szCs w:val="22"/>
        </w:rPr>
        <w:t>(</w:t>
      </w:r>
      <w:r w:rsidR="00975ACA">
        <w:rPr>
          <w:rFonts w:cs="Arial"/>
          <w:sz w:val="22"/>
          <w:szCs w:val="22"/>
        </w:rPr>
        <w:t xml:space="preserve">v hodnotě </w:t>
      </w:r>
      <w:r w:rsidR="004A555B">
        <w:rPr>
          <w:rFonts w:cs="Arial"/>
          <w:sz w:val="22"/>
          <w:szCs w:val="22"/>
        </w:rPr>
        <w:t>cca. 29</w:t>
      </w:r>
      <w:r w:rsidR="009653F4">
        <w:rPr>
          <w:rFonts w:cs="Arial"/>
          <w:sz w:val="22"/>
          <w:szCs w:val="22"/>
        </w:rPr>
        <w:t>9</w:t>
      </w:r>
      <w:r w:rsidR="004A555B">
        <w:rPr>
          <w:rFonts w:cs="Arial"/>
          <w:sz w:val="22"/>
          <w:szCs w:val="22"/>
        </w:rPr>
        <w:t xml:space="preserve"> mil. Kč)</w:t>
      </w:r>
      <w:r w:rsidR="009653F4">
        <w:rPr>
          <w:rFonts w:cs="Arial"/>
          <w:sz w:val="22"/>
          <w:szCs w:val="22"/>
        </w:rPr>
        <w:t>.</w:t>
      </w:r>
      <w:r w:rsidR="004B10FC">
        <w:rPr>
          <w:rFonts w:cs="Arial"/>
          <w:sz w:val="22"/>
          <w:szCs w:val="22"/>
        </w:rPr>
        <w:t xml:space="preserve"> </w:t>
      </w:r>
      <w:r w:rsidR="009653F4">
        <w:rPr>
          <w:rFonts w:cs="Arial"/>
          <w:sz w:val="22"/>
          <w:szCs w:val="22"/>
        </w:rPr>
        <w:t>V kategorii</w:t>
      </w:r>
      <w:r w:rsidR="004B10FC">
        <w:rPr>
          <w:rFonts w:cs="Arial"/>
          <w:sz w:val="22"/>
          <w:szCs w:val="22"/>
        </w:rPr>
        <w:t xml:space="preserve"> vysoce </w:t>
      </w:r>
      <w:r w:rsidR="004A555B">
        <w:rPr>
          <w:rFonts w:cs="Arial"/>
          <w:sz w:val="22"/>
          <w:szCs w:val="22"/>
        </w:rPr>
        <w:t>rizikových</w:t>
      </w:r>
      <w:r w:rsidR="009653F4">
        <w:rPr>
          <w:rFonts w:cs="Arial"/>
          <w:sz w:val="22"/>
          <w:szCs w:val="22"/>
        </w:rPr>
        <w:t xml:space="preserve"> projektů</w:t>
      </w:r>
      <w:r w:rsidR="004A555B">
        <w:rPr>
          <w:rFonts w:cs="Arial"/>
          <w:sz w:val="22"/>
          <w:szCs w:val="22"/>
        </w:rPr>
        <w:t xml:space="preserve"> </w:t>
      </w:r>
      <w:r w:rsidR="00A50246">
        <w:rPr>
          <w:rFonts w:cs="Arial"/>
          <w:sz w:val="22"/>
          <w:szCs w:val="22"/>
        </w:rPr>
        <w:t>byl zaznamenán</w:t>
      </w:r>
      <w:r w:rsidR="00975ACA">
        <w:rPr>
          <w:rFonts w:cs="Arial"/>
          <w:sz w:val="22"/>
          <w:szCs w:val="22"/>
        </w:rPr>
        <w:t xml:space="preserve"> </w:t>
      </w:r>
      <w:r w:rsidR="00F22562">
        <w:rPr>
          <w:rFonts w:cs="Arial"/>
          <w:sz w:val="22"/>
          <w:szCs w:val="22"/>
        </w:rPr>
        <w:t>nárůst</w:t>
      </w:r>
      <w:r w:rsidR="00975ACA">
        <w:rPr>
          <w:rFonts w:cs="Arial"/>
          <w:sz w:val="22"/>
          <w:szCs w:val="22"/>
        </w:rPr>
        <w:t xml:space="preserve"> </w:t>
      </w:r>
      <w:r w:rsidR="004A555B">
        <w:rPr>
          <w:rFonts w:cs="Arial"/>
          <w:sz w:val="22"/>
          <w:szCs w:val="22"/>
        </w:rPr>
        <w:t>o</w:t>
      </w:r>
      <w:r w:rsidR="00F22562">
        <w:rPr>
          <w:rFonts w:cs="Arial"/>
          <w:sz w:val="22"/>
          <w:szCs w:val="22"/>
        </w:rPr>
        <w:t xml:space="preserve"> 22</w:t>
      </w:r>
      <w:r w:rsidR="004A555B">
        <w:rPr>
          <w:rFonts w:cs="Arial"/>
          <w:sz w:val="22"/>
          <w:szCs w:val="22"/>
        </w:rPr>
        <w:t xml:space="preserve"> projektů (v hodnotě cca. </w:t>
      </w:r>
      <w:r w:rsidR="004806A1">
        <w:rPr>
          <w:rFonts w:cs="Arial"/>
          <w:sz w:val="22"/>
          <w:szCs w:val="22"/>
        </w:rPr>
        <w:t>2,6</w:t>
      </w:r>
      <w:r w:rsidR="004A555B">
        <w:rPr>
          <w:rFonts w:cs="Arial"/>
          <w:sz w:val="22"/>
          <w:szCs w:val="22"/>
        </w:rPr>
        <w:t xml:space="preserve"> mld. Kč). </w:t>
      </w:r>
      <w:r w:rsidR="004A555B" w:rsidRPr="004A555B">
        <w:rPr>
          <w:rFonts w:cs="Arial"/>
          <w:sz w:val="22"/>
          <w:szCs w:val="22"/>
        </w:rPr>
        <w:t>Tyto projekty</w:t>
      </w:r>
      <w:r w:rsidR="004806A1">
        <w:rPr>
          <w:rFonts w:cs="Arial"/>
          <w:sz w:val="22"/>
          <w:szCs w:val="22"/>
        </w:rPr>
        <w:t xml:space="preserve"> byly přeřazeny z kategorie </w:t>
      </w:r>
      <w:r w:rsidR="004A555B" w:rsidRPr="004A555B">
        <w:rPr>
          <w:rFonts w:cs="Arial"/>
          <w:sz w:val="22"/>
          <w:szCs w:val="22"/>
        </w:rPr>
        <w:t>rizikov</w:t>
      </w:r>
      <w:r w:rsidR="004806A1">
        <w:rPr>
          <w:rFonts w:cs="Arial"/>
          <w:sz w:val="22"/>
          <w:szCs w:val="22"/>
        </w:rPr>
        <w:t>ých</w:t>
      </w:r>
      <w:r w:rsidR="004A555B" w:rsidRPr="004A555B">
        <w:rPr>
          <w:rFonts w:cs="Arial"/>
          <w:sz w:val="22"/>
          <w:szCs w:val="22"/>
        </w:rPr>
        <w:t xml:space="preserve"> zejména z důvodu napjatého časového plánu</w:t>
      </w:r>
      <w:r w:rsidR="00A50246">
        <w:rPr>
          <w:rFonts w:cs="Arial"/>
          <w:sz w:val="22"/>
          <w:szCs w:val="22"/>
        </w:rPr>
        <w:t xml:space="preserve"> realizace</w:t>
      </w:r>
      <w:r w:rsidR="004A555B" w:rsidRPr="004A555B">
        <w:rPr>
          <w:rFonts w:cs="Arial"/>
          <w:sz w:val="22"/>
          <w:szCs w:val="22"/>
        </w:rPr>
        <w:t xml:space="preserve">. </w:t>
      </w:r>
      <w:r w:rsidR="00A50246">
        <w:rPr>
          <w:rFonts w:cs="Arial"/>
          <w:sz w:val="22"/>
          <w:szCs w:val="22"/>
        </w:rPr>
        <w:t>Častým d</w:t>
      </w:r>
      <w:r w:rsidR="004A555B" w:rsidRPr="004A555B">
        <w:rPr>
          <w:rFonts w:cs="Arial"/>
          <w:sz w:val="22"/>
          <w:szCs w:val="22"/>
        </w:rPr>
        <w:t xml:space="preserve">ůvodem je jejich schválení v průběhu léta a podzimu 2014, ze kterého vyplývá </w:t>
      </w:r>
      <w:r w:rsidR="00A50246">
        <w:rPr>
          <w:rFonts w:cs="Arial"/>
          <w:sz w:val="22"/>
          <w:szCs w:val="22"/>
        </w:rPr>
        <w:t xml:space="preserve">krátký úsek </w:t>
      </w:r>
      <w:r w:rsidR="004A555B" w:rsidRPr="004A555B">
        <w:rPr>
          <w:rFonts w:cs="Arial"/>
          <w:sz w:val="22"/>
          <w:szCs w:val="22"/>
        </w:rPr>
        <w:t>reálné realizace zhruba jednoho roku, a to včetně uskutečnění všech veřejných zakázek.</w:t>
      </w:r>
      <w:r w:rsidR="00A50246">
        <w:rPr>
          <w:rFonts w:cs="Arial"/>
          <w:sz w:val="22"/>
          <w:szCs w:val="22"/>
        </w:rPr>
        <w:t xml:space="preserve"> Jedná se především o </w:t>
      </w:r>
      <w:r w:rsidR="00A50246">
        <w:rPr>
          <w:rFonts w:cs="Arial"/>
          <w:sz w:val="22"/>
          <w:szCs w:val="22"/>
        </w:rPr>
        <w:lastRenderedPageBreak/>
        <w:t>projekty měst a obcí z 22. výzvy v oblasti intervence 2.1.</w:t>
      </w:r>
      <w:r w:rsidR="00EE3FF6">
        <w:rPr>
          <w:rFonts w:cs="Arial"/>
          <w:sz w:val="22"/>
          <w:szCs w:val="22"/>
        </w:rPr>
        <w:t>a projekty organizačních složek státu v 17. výzvě v oblasti intervence 1.1.</w:t>
      </w:r>
    </w:p>
    <w:p w:rsidR="00334EBF" w:rsidRDefault="00334EBF" w:rsidP="00BA40CF">
      <w:pPr>
        <w:spacing w:line="276" w:lineRule="auto"/>
        <w:rPr>
          <w:rFonts w:cs="Arial"/>
          <w:bCs/>
          <w:sz w:val="22"/>
          <w:szCs w:val="22"/>
        </w:rPr>
      </w:pPr>
    </w:p>
    <w:p w:rsidR="000C79A7" w:rsidRDefault="000C79A7" w:rsidP="00BA40CF">
      <w:pPr>
        <w:spacing w:line="276" w:lineRule="auto"/>
        <w:rPr>
          <w:rFonts w:cs="Arial"/>
          <w:bCs/>
          <w:sz w:val="22"/>
          <w:szCs w:val="22"/>
        </w:rPr>
      </w:pPr>
    </w:p>
    <w:p w:rsidR="000C79A7" w:rsidRDefault="000C79A7" w:rsidP="00BA40CF">
      <w:pPr>
        <w:spacing w:line="276" w:lineRule="auto"/>
        <w:rPr>
          <w:rFonts w:cs="Arial"/>
          <w:bCs/>
          <w:sz w:val="22"/>
          <w:szCs w:val="22"/>
        </w:rPr>
      </w:pPr>
    </w:p>
    <w:p w:rsidR="00735C0E" w:rsidRDefault="00A81307" w:rsidP="00BA40CF">
      <w:pPr>
        <w:spacing w:line="276" w:lineRule="auto"/>
        <w:rPr>
          <w:rFonts w:cs="Arial"/>
          <w:bCs/>
          <w:sz w:val="22"/>
          <w:szCs w:val="22"/>
        </w:rPr>
      </w:pPr>
      <w:r>
        <w:rPr>
          <w:rFonts w:cs="Arial"/>
          <w:bCs/>
          <w:sz w:val="22"/>
          <w:szCs w:val="22"/>
        </w:rPr>
        <w:t>P</w:t>
      </w:r>
      <w:r w:rsidR="0009741A" w:rsidRPr="00736E6D">
        <w:rPr>
          <w:rFonts w:cs="Arial"/>
          <w:bCs/>
          <w:sz w:val="22"/>
          <w:szCs w:val="22"/>
        </w:rPr>
        <w:t>řehled spících, vysoce rizikových a</w:t>
      </w:r>
      <w:r w:rsidR="003073F1" w:rsidRPr="00736E6D">
        <w:rPr>
          <w:rFonts w:cs="Arial"/>
          <w:bCs/>
          <w:sz w:val="22"/>
          <w:szCs w:val="22"/>
        </w:rPr>
        <w:t xml:space="preserve"> rizikových projektů dle příjemce </w:t>
      </w:r>
      <w:r w:rsidR="00D63DF8" w:rsidRPr="00736E6D">
        <w:rPr>
          <w:rFonts w:cs="Arial"/>
          <w:bCs/>
          <w:sz w:val="22"/>
          <w:szCs w:val="22"/>
        </w:rPr>
        <w:t>k</w:t>
      </w:r>
      <w:r w:rsidR="0043479A">
        <w:rPr>
          <w:rFonts w:cs="Arial"/>
          <w:bCs/>
          <w:sz w:val="22"/>
          <w:szCs w:val="22"/>
        </w:rPr>
        <w:t> </w:t>
      </w:r>
      <w:r w:rsidR="000C79A7">
        <w:rPr>
          <w:rFonts w:cs="Arial"/>
          <w:bCs/>
          <w:sz w:val="22"/>
          <w:szCs w:val="22"/>
        </w:rPr>
        <w:t xml:space="preserve">1. </w:t>
      </w:r>
      <w:r w:rsidR="004806A1">
        <w:rPr>
          <w:rFonts w:cs="Arial"/>
          <w:bCs/>
          <w:sz w:val="22"/>
          <w:szCs w:val="22"/>
        </w:rPr>
        <w:t>7</w:t>
      </w:r>
      <w:r w:rsidR="00005623">
        <w:rPr>
          <w:rFonts w:cs="Arial"/>
          <w:bCs/>
          <w:sz w:val="22"/>
          <w:szCs w:val="22"/>
        </w:rPr>
        <w:t>. 2015</w:t>
      </w:r>
      <w:r w:rsidR="0043479A">
        <w:rPr>
          <w:rFonts w:cs="Arial"/>
          <w:bCs/>
          <w:sz w:val="22"/>
          <w:szCs w:val="22"/>
        </w:rPr>
        <w:t xml:space="preserve"> v</w:t>
      </w:r>
      <w:r w:rsidR="00CC22FF">
        <w:rPr>
          <w:rFonts w:cs="Arial"/>
          <w:bCs/>
          <w:sz w:val="22"/>
          <w:szCs w:val="22"/>
        </w:rPr>
        <w:t> </w:t>
      </w:r>
      <w:r w:rsidR="0043479A">
        <w:rPr>
          <w:rFonts w:cs="Arial"/>
          <w:bCs/>
          <w:sz w:val="22"/>
          <w:szCs w:val="22"/>
        </w:rPr>
        <w:t>Kč</w:t>
      </w:r>
      <w:r w:rsidR="00CC22FF">
        <w:rPr>
          <w:rFonts w:cs="Arial"/>
          <w:bCs/>
          <w:sz w:val="22"/>
          <w:szCs w:val="22"/>
        </w:rPr>
        <w:t>.</w:t>
      </w:r>
    </w:p>
    <w:p w:rsidR="004806A1" w:rsidRDefault="004806A1" w:rsidP="00BA40CF">
      <w:pPr>
        <w:spacing w:line="276" w:lineRule="auto"/>
        <w:rPr>
          <w:rFonts w:cs="Arial"/>
          <w:bCs/>
          <w:sz w:val="22"/>
          <w:szCs w:val="22"/>
        </w:rPr>
      </w:pPr>
    </w:p>
    <w:p w:rsidR="00252871" w:rsidRDefault="00252871" w:rsidP="00BA40CF">
      <w:pPr>
        <w:spacing w:line="276" w:lineRule="auto"/>
        <w:rPr>
          <w:rFonts w:cs="Arial"/>
          <w:bCs/>
          <w:sz w:val="22"/>
          <w:szCs w:val="22"/>
        </w:rPr>
      </w:pPr>
    </w:p>
    <w:p w:rsidR="00252871" w:rsidRDefault="00252871" w:rsidP="00BA40CF">
      <w:pPr>
        <w:spacing w:line="276" w:lineRule="auto"/>
        <w:rPr>
          <w:rFonts w:cs="Arial"/>
          <w:bCs/>
          <w:sz w:val="22"/>
          <w:szCs w:val="22"/>
        </w:rPr>
      </w:pPr>
      <w:r w:rsidRPr="00252871">
        <w:rPr>
          <w:noProof/>
        </w:rPr>
        <w:drawing>
          <wp:inline distT="0" distB="0" distL="0" distR="0" wp14:anchorId="141EBCC4" wp14:editId="7A3C7827">
            <wp:extent cx="5760720" cy="26872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687285"/>
                    </a:xfrm>
                    <a:prstGeom prst="rect">
                      <a:avLst/>
                    </a:prstGeom>
                    <a:noFill/>
                    <a:ln>
                      <a:noFill/>
                    </a:ln>
                  </pic:spPr>
                </pic:pic>
              </a:graphicData>
            </a:graphic>
          </wp:inline>
        </w:drawing>
      </w:r>
    </w:p>
    <w:p w:rsidR="00252871" w:rsidRDefault="00252871" w:rsidP="00BA40CF">
      <w:pPr>
        <w:spacing w:line="276" w:lineRule="auto"/>
        <w:rPr>
          <w:rFonts w:cs="Arial"/>
          <w:bCs/>
          <w:sz w:val="22"/>
          <w:szCs w:val="22"/>
        </w:rPr>
      </w:pPr>
    </w:p>
    <w:p w:rsidR="003969DF" w:rsidRDefault="003969DF" w:rsidP="003969DF">
      <w:pPr>
        <w:spacing w:line="276" w:lineRule="auto"/>
        <w:rPr>
          <w:rFonts w:eastAsiaTheme="minorHAnsi" w:cs="Arial"/>
          <w:i/>
          <w:iCs/>
          <w:sz w:val="18"/>
          <w:szCs w:val="18"/>
          <w:lang w:eastAsia="en-US"/>
        </w:rPr>
      </w:pPr>
      <w:r w:rsidRPr="00736E6D">
        <w:rPr>
          <w:rFonts w:eastAsiaTheme="minorHAnsi" w:cs="Arial"/>
          <w:i/>
          <w:iCs/>
          <w:sz w:val="18"/>
          <w:szCs w:val="18"/>
          <w:lang w:eastAsia="en-US"/>
        </w:rPr>
        <w:t xml:space="preserve">Zdroj: IS Monit7+IOP a Řídící orgán IOP ve spolupráci se zprostředkujícími subjekty ke dni </w:t>
      </w:r>
      <w:r w:rsidR="000C79A7">
        <w:rPr>
          <w:rFonts w:eastAsiaTheme="minorHAnsi" w:cs="Arial"/>
          <w:i/>
          <w:iCs/>
          <w:sz w:val="18"/>
          <w:szCs w:val="18"/>
          <w:lang w:eastAsia="en-US"/>
        </w:rPr>
        <w:t xml:space="preserve">1. </w:t>
      </w:r>
      <w:r w:rsidR="004806A1">
        <w:rPr>
          <w:rFonts w:eastAsiaTheme="minorHAnsi" w:cs="Arial"/>
          <w:i/>
          <w:iCs/>
          <w:sz w:val="18"/>
          <w:szCs w:val="18"/>
          <w:lang w:eastAsia="en-US"/>
        </w:rPr>
        <w:t>7</w:t>
      </w:r>
      <w:r>
        <w:rPr>
          <w:rFonts w:eastAsiaTheme="minorHAnsi" w:cs="Arial"/>
          <w:i/>
          <w:iCs/>
          <w:sz w:val="18"/>
          <w:szCs w:val="18"/>
          <w:lang w:eastAsia="en-US"/>
        </w:rPr>
        <w:t xml:space="preserve">. </w:t>
      </w:r>
      <w:r w:rsidRPr="00736E6D">
        <w:rPr>
          <w:rFonts w:eastAsiaTheme="minorHAnsi" w:cs="Arial"/>
          <w:i/>
          <w:iCs/>
          <w:sz w:val="18"/>
          <w:szCs w:val="18"/>
          <w:lang w:eastAsia="en-US"/>
        </w:rPr>
        <w:t>201</w:t>
      </w:r>
      <w:r>
        <w:rPr>
          <w:rFonts w:eastAsiaTheme="minorHAnsi" w:cs="Arial"/>
          <w:i/>
          <w:iCs/>
          <w:sz w:val="18"/>
          <w:szCs w:val="18"/>
          <w:lang w:eastAsia="en-US"/>
        </w:rPr>
        <w:t>5</w:t>
      </w:r>
      <w:r w:rsidR="001555CE">
        <w:rPr>
          <w:rFonts w:eastAsiaTheme="minorHAnsi" w:cs="Arial"/>
          <w:i/>
          <w:iCs/>
          <w:sz w:val="18"/>
          <w:szCs w:val="18"/>
          <w:lang w:eastAsia="en-US"/>
        </w:rPr>
        <w:t>. Jedná se o celkový podíl zdrojů EU a státního rozpočtu.</w:t>
      </w:r>
    </w:p>
    <w:p w:rsidR="00334EBF" w:rsidRDefault="00334EBF" w:rsidP="0060613E">
      <w:pPr>
        <w:spacing w:line="276" w:lineRule="auto"/>
        <w:jc w:val="both"/>
        <w:rPr>
          <w:rFonts w:cs="Arial"/>
          <w:sz w:val="22"/>
          <w:szCs w:val="22"/>
        </w:rPr>
      </w:pPr>
    </w:p>
    <w:p w:rsidR="007133B8" w:rsidRPr="00EE3FF6" w:rsidRDefault="003E5CD7" w:rsidP="0060613E">
      <w:pPr>
        <w:spacing w:line="276" w:lineRule="auto"/>
        <w:jc w:val="both"/>
        <w:rPr>
          <w:rFonts w:cs="Arial"/>
          <w:b/>
          <w:sz w:val="22"/>
          <w:szCs w:val="22"/>
        </w:rPr>
      </w:pPr>
      <w:r w:rsidRPr="00EE3FF6">
        <w:rPr>
          <w:rFonts w:cs="Arial"/>
          <w:b/>
          <w:sz w:val="22"/>
          <w:szCs w:val="22"/>
        </w:rPr>
        <w:t>Organizační složky státu</w:t>
      </w:r>
      <w:r w:rsidR="00BF00D8" w:rsidRPr="00EE3FF6">
        <w:rPr>
          <w:rFonts w:cs="Arial"/>
          <w:b/>
          <w:sz w:val="22"/>
          <w:szCs w:val="22"/>
        </w:rPr>
        <w:t xml:space="preserve"> a jejich příspěvkové organizace</w:t>
      </w:r>
      <w:r w:rsidRPr="00EE3FF6">
        <w:rPr>
          <w:rFonts w:cs="Arial"/>
          <w:b/>
          <w:sz w:val="22"/>
          <w:szCs w:val="22"/>
        </w:rPr>
        <w:t xml:space="preserve"> </w:t>
      </w:r>
      <w:r w:rsidR="00513A01" w:rsidRPr="00EE3FF6">
        <w:rPr>
          <w:rFonts w:cs="Arial"/>
          <w:b/>
          <w:sz w:val="22"/>
          <w:szCs w:val="22"/>
        </w:rPr>
        <w:t xml:space="preserve">realizují </w:t>
      </w:r>
      <w:r w:rsidR="00F54103" w:rsidRPr="00EE3FF6">
        <w:rPr>
          <w:rFonts w:cs="Arial"/>
          <w:b/>
          <w:sz w:val="22"/>
          <w:szCs w:val="22"/>
        </w:rPr>
        <w:t>1</w:t>
      </w:r>
      <w:r w:rsidR="00CF2E34" w:rsidRPr="00EE3FF6">
        <w:rPr>
          <w:rFonts w:cs="Arial"/>
          <w:b/>
          <w:sz w:val="22"/>
          <w:szCs w:val="22"/>
        </w:rPr>
        <w:t>5</w:t>
      </w:r>
      <w:r w:rsidR="00897B87" w:rsidRPr="00EE3FF6">
        <w:rPr>
          <w:rFonts w:cs="Arial"/>
          <w:b/>
          <w:sz w:val="22"/>
          <w:szCs w:val="22"/>
        </w:rPr>
        <w:t xml:space="preserve"> </w:t>
      </w:r>
      <w:r w:rsidR="00B10BE1" w:rsidRPr="00EE3FF6">
        <w:rPr>
          <w:rFonts w:cs="Arial"/>
          <w:b/>
          <w:sz w:val="22"/>
          <w:szCs w:val="22"/>
        </w:rPr>
        <w:t>vysoce rizikov</w:t>
      </w:r>
      <w:r w:rsidR="000F2F2D" w:rsidRPr="00EE3FF6">
        <w:rPr>
          <w:rFonts w:cs="Arial"/>
          <w:b/>
          <w:sz w:val="22"/>
          <w:szCs w:val="22"/>
        </w:rPr>
        <w:t>ých</w:t>
      </w:r>
      <w:r w:rsidR="00B10BE1" w:rsidRPr="00EE3FF6">
        <w:rPr>
          <w:rFonts w:cs="Arial"/>
          <w:b/>
          <w:sz w:val="22"/>
          <w:szCs w:val="22"/>
        </w:rPr>
        <w:t xml:space="preserve"> a </w:t>
      </w:r>
      <w:r w:rsidR="00897B87" w:rsidRPr="00EE3FF6">
        <w:rPr>
          <w:rFonts w:cs="Arial"/>
          <w:b/>
          <w:sz w:val="22"/>
          <w:szCs w:val="22"/>
        </w:rPr>
        <w:t>1</w:t>
      </w:r>
      <w:r w:rsidR="00CF2E34" w:rsidRPr="00EE3FF6">
        <w:rPr>
          <w:rFonts w:cs="Arial"/>
          <w:b/>
          <w:sz w:val="22"/>
          <w:szCs w:val="22"/>
        </w:rPr>
        <w:t>2</w:t>
      </w:r>
      <w:r w:rsidR="00B91CC9" w:rsidRPr="00EE3FF6">
        <w:rPr>
          <w:rFonts w:cs="Arial"/>
          <w:b/>
          <w:sz w:val="22"/>
          <w:szCs w:val="22"/>
        </w:rPr>
        <w:t xml:space="preserve"> </w:t>
      </w:r>
      <w:r w:rsidR="003969DF" w:rsidRPr="00EE3FF6">
        <w:rPr>
          <w:rFonts w:cs="Arial"/>
          <w:b/>
          <w:sz w:val="22"/>
          <w:szCs w:val="22"/>
        </w:rPr>
        <w:t>rizikových projektů</w:t>
      </w:r>
      <w:r w:rsidR="00B10BE1" w:rsidRPr="00EE3FF6">
        <w:rPr>
          <w:rFonts w:cs="Arial"/>
          <w:b/>
          <w:sz w:val="22"/>
          <w:szCs w:val="22"/>
        </w:rPr>
        <w:t>.</w:t>
      </w:r>
      <w:r w:rsidR="00715708" w:rsidRPr="00EE3FF6">
        <w:rPr>
          <w:rFonts w:cs="Arial"/>
          <w:b/>
          <w:sz w:val="22"/>
          <w:szCs w:val="22"/>
        </w:rPr>
        <w:t xml:space="preserve"> Tyto </w:t>
      </w:r>
      <w:r w:rsidR="00F66FF4" w:rsidRPr="00EE3FF6">
        <w:rPr>
          <w:rFonts w:cs="Arial"/>
          <w:b/>
          <w:sz w:val="22"/>
          <w:szCs w:val="22"/>
        </w:rPr>
        <w:t xml:space="preserve">projekty </w:t>
      </w:r>
      <w:r w:rsidR="00EE3FF6" w:rsidRPr="00EE3FF6">
        <w:rPr>
          <w:rFonts w:cs="Arial"/>
          <w:b/>
          <w:sz w:val="22"/>
          <w:szCs w:val="22"/>
        </w:rPr>
        <w:t>s ohledem na jejich celkovou finanční náročnost</w:t>
      </w:r>
      <w:r w:rsidR="001C49CD" w:rsidRPr="00EE3FF6">
        <w:rPr>
          <w:rFonts w:cs="Arial"/>
          <w:b/>
          <w:sz w:val="22"/>
          <w:szCs w:val="22"/>
        </w:rPr>
        <w:t> </w:t>
      </w:r>
      <w:r w:rsidR="00A5194B" w:rsidRPr="00EE3FF6">
        <w:rPr>
          <w:rFonts w:cs="Arial"/>
          <w:b/>
          <w:sz w:val="22"/>
          <w:szCs w:val="22"/>
        </w:rPr>
        <w:t xml:space="preserve">představují </w:t>
      </w:r>
      <w:r w:rsidR="00CE2030" w:rsidRPr="00EE3FF6">
        <w:rPr>
          <w:rFonts w:cs="Arial"/>
          <w:b/>
          <w:sz w:val="22"/>
          <w:szCs w:val="22"/>
        </w:rPr>
        <w:t xml:space="preserve">hlavní </w:t>
      </w:r>
      <w:r w:rsidR="00A5194B" w:rsidRPr="00EE3FF6">
        <w:rPr>
          <w:rFonts w:cs="Arial"/>
          <w:b/>
          <w:sz w:val="22"/>
          <w:szCs w:val="22"/>
        </w:rPr>
        <w:t>riziko pro</w:t>
      </w:r>
      <w:r w:rsidR="001C49CD" w:rsidRPr="00EE3FF6">
        <w:rPr>
          <w:rFonts w:cs="Arial"/>
          <w:b/>
          <w:sz w:val="22"/>
          <w:szCs w:val="22"/>
        </w:rPr>
        <w:t xml:space="preserve"> čerpání v  </w:t>
      </w:r>
      <w:r w:rsidR="00CF2E34" w:rsidRPr="00EE3FF6">
        <w:rPr>
          <w:rFonts w:cs="Arial"/>
          <w:b/>
          <w:sz w:val="22"/>
          <w:szCs w:val="22"/>
        </w:rPr>
        <w:t>roce</w:t>
      </w:r>
      <w:r w:rsidR="00A5194B" w:rsidRPr="00EE3FF6">
        <w:rPr>
          <w:rFonts w:cs="Arial"/>
          <w:b/>
          <w:sz w:val="22"/>
          <w:szCs w:val="22"/>
        </w:rPr>
        <w:t xml:space="preserve"> 2015</w:t>
      </w:r>
      <w:r w:rsidRPr="00EE3FF6">
        <w:rPr>
          <w:rFonts w:cs="Arial"/>
          <w:b/>
          <w:sz w:val="22"/>
          <w:szCs w:val="22"/>
        </w:rPr>
        <w:t xml:space="preserve">. </w:t>
      </w:r>
      <w:r w:rsidR="001555CE">
        <w:rPr>
          <w:rFonts w:cs="Arial"/>
          <w:b/>
          <w:sz w:val="22"/>
          <w:szCs w:val="22"/>
        </w:rPr>
        <w:t>Celkem se jedná o projekty v hodnotě cca. 6,336 mld. Kč.</w:t>
      </w:r>
    </w:p>
    <w:p w:rsidR="00513A01" w:rsidRDefault="00513A01" w:rsidP="0060613E">
      <w:pPr>
        <w:spacing w:line="276" w:lineRule="auto"/>
        <w:jc w:val="both"/>
        <w:rPr>
          <w:rFonts w:cs="Arial"/>
          <w:sz w:val="22"/>
          <w:szCs w:val="22"/>
        </w:rPr>
      </w:pPr>
    </w:p>
    <w:p w:rsidR="003225D4" w:rsidRDefault="00A1604B" w:rsidP="0060613E">
      <w:pPr>
        <w:spacing w:line="276" w:lineRule="auto"/>
        <w:jc w:val="both"/>
        <w:rPr>
          <w:rFonts w:cs="Arial"/>
          <w:sz w:val="22"/>
          <w:szCs w:val="22"/>
        </w:rPr>
      </w:pPr>
      <w:r w:rsidRPr="002840AD">
        <w:rPr>
          <w:rFonts w:cs="Arial"/>
          <w:sz w:val="22"/>
          <w:szCs w:val="22"/>
        </w:rPr>
        <w:t>Do ko</w:t>
      </w:r>
      <w:r w:rsidR="006820FD" w:rsidRPr="002840AD">
        <w:rPr>
          <w:rFonts w:cs="Arial"/>
          <w:sz w:val="22"/>
          <w:szCs w:val="22"/>
        </w:rPr>
        <w:t>n</w:t>
      </w:r>
      <w:r w:rsidRPr="002840AD">
        <w:rPr>
          <w:rFonts w:cs="Arial"/>
          <w:sz w:val="22"/>
          <w:szCs w:val="22"/>
        </w:rPr>
        <w:t xml:space="preserve">ce roku 2015 je u vysoce rizikových projektů plánované předložení žádostí o platbu v objemu cca. 4,362 </w:t>
      </w:r>
      <w:r w:rsidR="0061656A">
        <w:rPr>
          <w:rFonts w:cs="Arial"/>
          <w:sz w:val="22"/>
          <w:szCs w:val="22"/>
        </w:rPr>
        <w:t xml:space="preserve">mld. </w:t>
      </w:r>
      <w:r w:rsidRPr="002840AD">
        <w:rPr>
          <w:rFonts w:cs="Arial"/>
          <w:sz w:val="22"/>
          <w:szCs w:val="22"/>
        </w:rPr>
        <w:t xml:space="preserve">Kč. </w:t>
      </w:r>
      <w:r w:rsidR="00252871" w:rsidRPr="002840AD">
        <w:rPr>
          <w:rFonts w:cs="Arial"/>
          <w:sz w:val="22"/>
          <w:szCs w:val="22"/>
        </w:rPr>
        <w:t>U rizikových</w:t>
      </w:r>
      <w:r w:rsidRPr="002840AD">
        <w:rPr>
          <w:rFonts w:cs="Arial"/>
          <w:sz w:val="22"/>
          <w:szCs w:val="22"/>
        </w:rPr>
        <w:t xml:space="preserve"> projektů jsou pak očekávány žádosti o platbu v hodnotě cca. 2,383 mld. Kč.</w:t>
      </w:r>
      <w:r w:rsidR="00AB3B97" w:rsidRPr="002840AD">
        <w:rPr>
          <w:rFonts w:cs="Arial"/>
          <w:sz w:val="22"/>
          <w:szCs w:val="22"/>
        </w:rPr>
        <w:t xml:space="preserve"> </w:t>
      </w:r>
      <w:r w:rsidR="00777846" w:rsidRPr="007A0F43">
        <w:rPr>
          <w:rFonts w:cs="Arial"/>
          <w:b/>
          <w:sz w:val="22"/>
          <w:szCs w:val="22"/>
        </w:rPr>
        <w:t xml:space="preserve">Z celkového počtu prostředků, které zbývá proplatit z IOP v hodnotě cca. </w:t>
      </w:r>
      <w:r w:rsidR="00985F6B">
        <w:rPr>
          <w:rFonts w:cs="Arial"/>
          <w:b/>
          <w:sz w:val="22"/>
          <w:szCs w:val="22"/>
        </w:rPr>
        <w:t>14,623</w:t>
      </w:r>
      <w:r w:rsidR="00777846" w:rsidRPr="007A0F43">
        <w:rPr>
          <w:rFonts w:cs="Arial"/>
          <w:b/>
          <w:sz w:val="22"/>
          <w:szCs w:val="22"/>
        </w:rPr>
        <w:t>m</w:t>
      </w:r>
      <w:r w:rsidR="006820FD" w:rsidRPr="007A0F43">
        <w:rPr>
          <w:rFonts w:cs="Arial"/>
          <w:b/>
          <w:sz w:val="22"/>
          <w:szCs w:val="22"/>
        </w:rPr>
        <w:t>l</w:t>
      </w:r>
      <w:r w:rsidR="002840AD" w:rsidRPr="007A0F43">
        <w:rPr>
          <w:rFonts w:cs="Arial"/>
          <w:b/>
          <w:sz w:val="22"/>
          <w:szCs w:val="22"/>
        </w:rPr>
        <w:t>d. Kč</w:t>
      </w:r>
      <w:r w:rsidR="00884960">
        <w:rPr>
          <w:rFonts w:cs="Arial"/>
          <w:b/>
          <w:sz w:val="22"/>
          <w:szCs w:val="22"/>
        </w:rPr>
        <w:t>,</w:t>
      </w:r>
      <w:r w:rsidR="002840AD" w:rsidRPr="007A0F43">
        <w:rPr>
          <w:rFonts w:cs="Arial"/>
          <w:b/>
          <w:sz w:val="22"/>
          <w:szCs w:val="22"/>
        </w:rPr>
        <w:t xml:space="preserve"> se jedná zhruba o </w:t>
      </w:r>
      <w:r w:rsidR="00985F6B">
        <w:rPr>
          <w:rFonts w:cs="Arial"/>
          <w:b/>
          <w:sz w:val="22"/>
          <w:szCs w:val="22"/>
        </w:rPr>
        <w:t>34,41</w:t>
      </w:r>
      <w:r w:rsidR="00884960">
        <w:rPr>
          <w:rFonts w:cs="Arial"/>
          <w:b/>
          <w:sz w:val="22"/>
          <w:szCs w:val="22"/>
        </w:rPr>
        <w:t xml:space="preserve"> </w:t>
      </w:r>
      <w:r w:rsidR="00777846" w:rsidRPr="007A0F43">
        <w:rPr>
          <w:rFonts w:cs="Arial"/>
          <w:b/>
          <w:sz w:val="22"/>
          <w:szCs w:val="22"/>
        </w:rPr>
        <w:t>% z celkové alokace programu IOP, kterou zbývá proplatit.</w:t>
      </w:r>
      <w:r w:rsidR="00777846">
        <w:rPr>
          <w:rFonts w:cs="Arial"/>
          <w:sz w:val="22"/>
          <w:szCs w:val="22"/>
        </w:rPr>
        <w:t xml:space="preserve"> </w:t>
      </w:r>
    </w:p>
    <w:p w:rsidR="00B5605E" w:rsidRPr="003225D4" w:rsidRDefault="00B5605E" w:rsidP="0060613E">
      <w:pPr>
        <w:spacing w:line="276" w:lineRule="auto"/>
        <w:jc w:val="both"/>
        <w:rPr>
          <w:rFonts w:cs="Arial"/>
          <w:sz w:val="22"/>
          <w:szCs w:val="22"/>
        </w:rPr>
      </w:pPr>
    </w:p>
    <w:p w:rsidR="007A0F43" w:rsidRDefault="0036698B" w:rsidP="003225D4">
      <w:pPr>
        <w:spacing w:line="276" w:lineRule="auto"/>
        <w:jc w:val="both"/>
        <w:rPr>
          <w:rFonts w:cs="Arial"/>
          <w:sz w:val="22"/>
          <w:szCs w:val="22"/>
        </w:rPr>
      </w:pPr>
      <w:r>
        <w:rPr>
          <w:rFonts w:cs="Arial"/>
          <w:sz w:val="22"/>
          <w:szCs w:val="22"/>
        </w:rPr>
        <w:t>Z dlouhodobého hlediska</w:t>
      </w:r>
      <w:r w:rsidR="000F2F2D">
        <w:rPr>
          <w:rFonts w:cs="Arial"/>
          <w:sz w:val="22"/>
          <w:szCs w:val="22"/>
        </w:rPr>
        <w:t xml:space="preserve"> došlo </w:t>
      </w:r>
      <w:r w:rsidR="003225D4" w:rsidRPr="003225D4">
        <w:rPr>
          <w:rFonts w:cs="Arial"/>
          <w:sz w:val="22"/>
          <w:szCs w:val="22"/>
        </w:rPr>
        <w:t>o</w:t>
      </w:r>
      <w:r w:rsidR="0060613E" w:rsidRPr="003225D4">
        <w:rPr>
          <w:rFonts w:cs="Arial"/>
          <w:sz w:val="22"/>
          <w:szCs w:val="22"/>
        </w:rPr>
        <w:t>d</w:t>
      </w:r>
      <w:r w:rsidR="007F4C43" w:rsidRPr="003225D4">
        <w:rPr>
          <w:rFonts w:cs="Arial"/>
          <w:sz w:val="22"/>
          <w:szCs w:val="22"/>
        </w:rPr>
        <w:t xml:space="preserve"> července 2012, kdy ŘO</w:t>
      </w:r>
      <w:r w:rsidR="003E5CD7" w:rsidRPr="003225D4">
        <w:rPr>
          <w:rFonts w:cs="Arial"/>
          <w:sz w:val="22"/>
          <w:szCs w:val="22"/>
        </w:rPr>
        <w:t xml:space="preserve"> IOP přijímá opatření </w:t>
      </w:r>
      <w:r w:rsidR="00CE2030">
        <w:rPr>
          <w:rFonts w:cs="Arial"/>
          <w:sz w:val="22"/>
          <w:szCs w:val="22"/>
        </w:rPr>
        <w:t xml:space="preserve">u </w:t>
      </w:r>
      <w:r w:rsidR="003E5CD7" w:rsidRPr="003225D4">
        <w:rPr>
          <w:rFonts w:cs="Arial"/>
          <w:sz w:val="22"/>
          <w:szCs w:val="22"/>
        </w:rPr>
        <w:t>spící</w:t>
      </w:r>
      <w:r w:rsidR="000F2F2D">
        <w:rPr>
          <w:rFonts w:cs="Arial"/>
          <w:sz w:val="22"/>
          <w:szCs w:val="22"/>
        </w:rPr>
        <w:t>ch a vysoce rizikových projektů</w:t>
      </w:r>
      <w:r w:rsidR="00C412EC">
        <w:rPr>
          <w:rFonts w:cs="Arial"/>
          <w:sz w:val="22"/>
          <w:szCs w:val="22"/>
        </w:rPr>
        <w:t>,</w:t>
      </w:r>
      <w:r w:rsidR="000F2F2D">
        <w:rPr>
          <w:rFonts w:cs="Arial"/>
          <w:sz w:val="22"/>
          <w:szCs w:val="22"/>
        </w:rPr>
        <w:t xml:space="preserve"> k </w:t>
      </w:r>
      <w:r w:rsidR="006D5600">
        <w:rPr>
          <w:rFonts w:cs="Arial"/>
          <w:sz w:val="22"/>
          <w:szCs w:val="22"/>
        </w:rPr>
        <w:t>dílčímu zlepšení</w:t>
      </w:r>
      <w:r w:rsidR="000F2F2D">
        <w:rPr>
          <w:rFonts w:cs="Arial"/>
          <w:sz w:val="22"/>
          <w:szCs w:val="22"/>
        </w:rPr>
        <w:t xml:space="preserve"> v realizac</w:t>
      </w:r>
      <w:r w:rsidR="00C412EC">
        <w:rPr>
          <w:rFonts w:cs="Arial"/>
          <w:sz w:val="22"/>
          <w:szCs w:val="22"/>
        </w:rPr>
        <w:t>i</w:t>
      </w:r>
      <w:r w:rsidR="000F2F2D">
        <w:rPr>
          <w:rFonts w:cs="Arial"/>
          <w:sz w:val="22"/>
          <w:szCs w:val="22"/>
        </w:rPr>
        <w:t xml:space="preserve"> </w:t>
      </w:r>
      <w:r w:rsidR="003B4D4F">
        <w:rPr>
          <w:rFonts w:cs="Arial"/>
          <w:sz w:val="22"/>
          <w:szCs w:val="22"/>
        </w:rPr>
        <w:t xml:space="preserve">některých </w:t>
      </w:r>
      <w:r w:rsidR="000F2F2D">
        <w:rPr>
          <w:rFonts w:cs="Arial"/>
          <w:sz w:val="22"/>
          <w:szCs w:val="22"/>
        </w:rPr>
        <w:t>projektů organizačních složek státu</w:t>
      </w:r>
      <w:r w:rsidR="007A0F43">
        <w:rPr>
          <w:rFonts w:cs="Arial"/>
          <w:sz w:val="22"/>
          <w:szCs w:val="22"/>
        </w:rPr>
        <w:t>, které se na základě přijatých opatření podařilo stabilizovat</w:t>
      </w:r>
      <w:r w:rsidR="00C412EC">
        <w:rPr>
          <w:rFonts w:cs="Arial"/>
          <w:sz w:val="22"/>
          <w:szCs w:val="22"/>
        </w:rPr>
        <w:t>.</w:t>
      </w:r>
      <w:r w:rsidR="00B539F1" w:rsidRPr="00B539F1">
        <w:t xml:space="preserve"> </w:t>
      </w:r>
      <w:r w:rsidR="007A0F43" w:rsidRPr="007A0F43">
        <w:rPr>
          <w:rFonts w:cs="Arial"/>
          <w:b/>
          <w:sz w:val="22"/>
          <w:szCs w:val="22"/>
        </w:rPr>
        <w:t xml:space="preserve">Nejrizikovější </w:t>
      </w:r>
      <w:r w:rsidR="00B539F1" w:rsidRPr="007A0F43">
        <w:rPr>
          <w:rFonts w:cs="Arial"/>
          <w:b/>
          <w:sz w:val="22"/>
          <w:szCs w:val="22"/>
        </w:rPr>
        <w:t xml:space="preserve">projekty </w:t>
      </w:r>
      <w:r w:rsidR="007A0F43" w:rsidRPr="007A0F43">
        <w:rPr>
          <w:rFonts w:cs="Arial"/>
          <w:b/>
          <w:sz w:val="22"/>
          <w:szCs w:val="22"/>
        </w:rPr>
        <w:t xml:space="preserve">jsou nicméně i nadále </w:t>
      </w:r>
      <w:r w:rsidR="00B539F1" w:rsidRPr="007A0F43">
        <w:rPr>
          <w:rFonts w:cs="Arial"/>
          <w:b/>
          <w:sz w:val="22"/>
          <w:szCs w:val="22"/>
        </w:rPr>
        <w:t>v gesci Ministerstva vnitra ČR a Hasičského záchranného sboru (HZS)</w:t>
      </w:r>
      <w:r w:rsidR="00C64E3F" w:rsidRPr="007A0F43">
        <w:rPr>
          <w:rFonts w:cs="Arial"/>
          <w:b/>
          <w:sz w:val="22"/>
          <w:szCs w:val="22"/>
        </w:rPr>
        <w:t>,</w:t>
      </w:r>
      <w:r w:rsidR="00B539F1" w:rsidRPr="007A0F43">
        <w:rPr>
          <w:rFonts w:cs="Arial"/>
          <w:b/>
          <w:sz w:val="22"/>
          <w:szCs w:val="22"/>
        </w:rPr>
        <w:t xml:space="preserve"> navázané na generálního dodavatele Českou poštu, </w:t>
      </w:r>
      <w:r w:rsidR="00884960" w:rsidRPr="00884960">
        <w:rPr>
          <w:rFonts w:cs="Arial"/>
          <w:b/>
          <w:sz w:val="22"/>
          <w:szCs w:val="22"/>
        </w:rPr>
        <w:t>Odštěpný závod ICT služby</w:t>
      </w:r>
      <w:r w:rsidR="00B539F1" w:rsidRPr="007A0F43">
        <w:rPr>
          <w:rFonts w:cs="Arial"/>
          <w:b/>
          <w:sz w:val="22"/>
          <w:szCs w:val="22"/>
        </w:rPr>
        <w:t>.</w:t>
      </w:r>
      <w:r w:rsidR="00C73665">
        <w:rPr>
          <w:rFonts w:cs="Arial"/>
          <w:sz w:val="22"/>
          <w:szCs w:val="22"/>
        </w:rPr>
        <w:t xml:space="preserve"> </w:t>
      </w:r>
    </w:p>
    <w:p w:rsidR="007A0F43" w:rsidRDefault="007A0F43" w:rsidP="003225D4">
      <w:pPr>
        <w:spacing w:line="276" w:lineRule="auto"/>
        <w:jc w:val="both"/>
        <w:rPr>
          <w:rFonts w:cs="Arial"/>
          <w:sz w:val="22"/>
          <w:szCs w:val="22"/>
        </w:rPr>
      </w:pPr>
    </w:p>
    <w:p w:rsidR="00B7179D" w:rsidRDefault="00C73665" w:rsidP="003225D4">
      <w:pPr>
        <w:spacing w:line="276" w:lineRule="auto"/>
        <w:jc w:val="both"/>
        <w:rPr>
          <w:sz w:val="22"/>
          <w:szCs w:val="22"/>
        </w:rPr>
      </w:pPr>
      <w:r>
        <w:rPr>
          <w:rFonts w:cs="Arial"/>
          <w:sz w:val="22"/>
          <w:szCs w:val="22"/>
        </w:rPr>
        <w:t xml:space="preserve">Od poslední </w:t>
      </w:r>
      <w:r w:rsidR="006566DD">
        <w:rPr>
          <w:rFonts w:cs="Arial"/>
          <w:sz w:val="22"/>
          <w:szCs w:val="22"/>
        </w:rPr>
        <w:t xml:space="preserve">dubnové </w:t>
      </w:r>
      <w:r>
        <w:rPr>
          <w:rFonts w:cs="Arial"/>
          <w:sz w:val="22"/>
          <w:szCs w:val="22"/>
        </w:rPr>
        <w:t xml:space="preserve">aktualizace </w:t>
      </w:r>
      <w:r w:rsidR="00B848EF">
        <w:rPr>
          <w:rFonts w:cs="Arial"/>
          <w:sz w:val="22"/>
          <w:szCs w:val="22"/>
        </w:rPr>
        <w:t xml:space="preserve">došlo </w:t>
      </w:r>
      <w:r w:rsidR="006566DD">
        <w:rPr>
          <w:rFonts w:cs="Arial"/>
          <w:sz w:val="22"/>
          <w:szCs w:val="22"/>
        </w:rPr>
        <w:t>k vyřešení všech spících projektů</w:t>
      </w:r>
      <w:r>
        <w:rPr>
          <w:rFonts w:cs="Arial"/>
          <w:sz w:val="22"/>
          <w:szCs w:val="22"/>
        </w:rPr>
        <w:t xml:space="preserve">. Důvodem </w:t>
      </w:r>
      <w:r w:rsidR="006566DD">
        <w:rPr>
          <w:rFonts w:cs="Arial"/>
          <w:sz w:val="22"/>
          <w:szCs w:val="22"/>
        </w:rPr>
        <w:t>byl zejména</w:t>
      </w:r>
      <w:r w:rsidR="00B848EF">
        <w:rPr>
          <w:rFonts w:cs="Arial"/>
          <w:sz w:val="22"/>
          <w:szCs w:val="22"/>
        </w:rPr>
        <w:t xml:space="preserve"> posun v projektech v oblasti intervence</w:t>
      </w:r>
      <w:r>
        <w:rPr>
          <w:rFonts w:cs="Arial"/>
          <w:sz w:val="22"/>
          <w:szCs w:val="22"/>
        </w:rPr>
        <w:t xml:space="preserve"> </w:t>
      </w:r>
      <w:r w:rsidR="00B848EF">
        <w:rPr>
          <w:rFonts w:cs="Arial"/>
          <w:sz w:val="22"/>
          <w:szCs w:val="22"/>
        </w:rPr>
        <w:t>5.1</w:t>
      </w:r>
      <w:r w:rsidR="00B848EF" w:rsidRPr="00B848EF">
        <w:rPr>
          <w:i/>
        </w:rPr>
        <w:t xml:space="preserve"> </w:t>
      </w:r>
      <w:r w:rsidR="00B848EF" w:rsidRPr="0065671B">
        <w:rPr>
          <w:sz w:val="22"/>
          <w:szCs w:val="22"/>
        </w:rPr>
        <w:t xml:space="preserve">Národní podpora využití potenciálu kulturního </w:t>
      </w:r>
      <w:r w:rsidR="00B848EF" w:rsidRPr="00B848EF">
        <w:rPr>
          <w:sz w:val="22"/>
          <w:szCs w:val="22"/>
        </w:rPr>
        <w:t>dědictví</w:t>
      </w:r>
      <w:r w:rsidR="00B848EF">
        <w:rPr>
          <w:sz w:val="22"/>
          <w:szCs w:val="22"/>
        </w:rPr>
        <w:t xml:space="preserve">. U projektu </w:t>
      </w:r>
      <w:r w:rsidR="00666E18" w:rsidRPr="0065671B">
        <w:rPr>
          <w:i/>
          <w:sz w:val="22"/>
          <w:szCs w:val="22"/>
        </w:rPr>
        <w:t xml:space="preserve">„Schola naturalis – projekt revitalizace zámku Veltrusy a </w:t>
      </w:r>
      <w:r w:rsidR="00666E18" w:rsidRPr="0065671B">
        <w:rPr>
          <w:i/>
          <w:sz w:val="22"/>
          <w:szCs w:val="22"/>
        </w:rPr>
        <w:lastRenderedPageBreak/>
        <w:t>centrum Evropské úmluvy o krajině“</w:t>
      </w:r>
      <w:r w:rsidR="00666E18" w:rsidRPr="00666E18">
        <w:rPr>
          <w:sz w:val="22"/>
          <w:szCs w:val="22"/>
        </w:rPr>
        <w:t xml:space="preserve"> </w:t>
      </w:r>
      <w:r w:rsidR="00666E18">
        <w:rPr>
          <w:sz w:val="22"/>
          <w:szCs w:val="22"/>
        </w:rPr>
        <w:t xml:space="preserve">došlo k posunu v realizaci a ukončení projektu dle platného </w:t>
      </w:r>
      <w:r w:rsidR="00770E9F">
        <w:rPr>
          <w:sz w:val="22"/>
          <w:szCs w:val="22"/>
        </w:rPr>
        <w:t>harmonogramu.</w:t>
      </w:r>
      <w:r w:rsidR="00666E18">
        <w:rPr>
          <w:sz w:val="22"/>
          <w:szCs w:val="22"/>
        </w:rPr>
        <w:t xml:space="preserve"> Další projekt ve stejné oblasti intervence byl přesunut do kategorie rizikový. V tomto případě došlo k</w:t>
      </w:r>
      <w:r w:rsidR="00CB062D">
        <w:rPr>
          <w:sz w:val="22"/>
          <w:szCs w:val="22"/>
        </w:rPr>
        <w:t xml:space="preserve"> částečnému posunu v realizaci, přesto je úspěšné </w:t>
      </w:r>
      <w:r w:rsidR="000B0263">
        <w:rPr>
          <w:sz w:val="22"/>
          <w:szCs w:val="22"/>
        </w:rPr>
        <w:t>ukončení</w:t>
      </w:r>
      <w:r w:rsidR="00CB062D">
        <w:rPr>
          <w:sz w:val="22"/>
          <w:szCs w:val="22"/>
        </w:rPr>
        <w:t xml:space="preserve"> projektu ze strany ŘO vnímáno </w:t>
      </w:r>
      <w:r w:rsidR="006566DD">
        <w:rPr>
          <w:sz w:val="22"/>
          <w:szCs w:val="22"/>
        </w:rPr>
        <w:t>nadále jako rizikové z důvod</w:t>
      </w:r>
      <w:r w:rsidR="00770E9F">
        <w:rPr>
          <w:sz w:val="22"/>
          <w:szCs w:val="22"/>
        </w:rPr>
        <w:t>u</w:t>
      </w:r>
      <w:r w:rsidR="006566DD">
        <w:rPr>
          <w:sz w:val="22"/>
          <w:szCs w:val="22"/>
        </w:rPr>
        <w:t xml:space="preserve"> výběru dodavatele</w:t>
      </w:r>
      <w:r w:rsidR="00B7179D">
        <w:rPr>
          <w:sz w:val="22"/>
          <w:szCs w:val="22"/>
        </w:rPr>
        <w:t>.</w:t>
      </w:r>
      <w:r w:rsidR="000B0263">
        <w:rPr>
          <w:sz w:val="22"/>
          <w:szCs w:val="22"/>
        </w:rPr>
        <w:t xml:space="preserve"> </w:t>
      </w:r>
      <w:r w:rsidR="00B7179D">
        <w:rPr>
          <w:sz w:val="22"/>
          <w:szCs w:val="22"/>
        </w:rPr>
        <w:t>J</w:t>
      </w:r>
      <w:r w:rsidR="000B0263">
        <w:rPr>
          <w:sz w:val="22"/>
          <w:szCs w:val="22"/>
        </w:rPr>
        <w:t>edná se o projekt „</w:t>
      </w:r>
      <w:r w:rsidR="000B0263" w:rsidRPr="0065671B">
        <w:rPr>
          <w:i/>
          <w:sz w:val="22"/>
          <w:szCs w:val="22"/>
        </w:rPr>
        <w:t>Revitalizace areálu klášteru Český Krumlov“</w:t>
      </w:r>
      <w:r w:rsidR="000B0263">
        <w:rPr>
          <w:sz w:val="22"/>
          <w:szCs w:val="22"/>
        </w:rPr>
        <w:t>.</w:t>
      </w:r>
      <w:r w:rsidR="00E70DA2">
        <w:rPr>
          <w:sz w:val="22"/>
          <w:szCs w:val="22"/>
        </w:rPr>
        <w:t xml:space="preserve"> </w:t>
      </w:r>
      <w:r w:rsidR="006566DD">
        <w:rPr>
          <w:sz w:val="22"/>
          <w:szCs w:val="22"/>
        </w:rPr>
        <w:t xml:space="preserve">Z kategorie spících projektů byl </w:t>
      </w:r>
      <w:r w:rsidR="00A04E90">
        <w:rPr>
          <w:sz w:val="22"/>
          <w:szCs w:val="22"/>
        </w:rPr>
        <w:t xml:space="preserve">jeden </w:t>
      </w:r>
      <w:r w:rsidR="006566DD">
        <w:rPr>
          <w:sz w:val="22"/>
          <w:szCs w:val="22"/>
        </w:rPr>
        <w:t xml:space="preserve">projekt </w:t>
      </w:r>
      <w:r w:rsidR="006566DD" w:rsidRPr="006566DD">
        <w:rPr>
          <w:sz w:val="22"/>
          <w:szCs w:val="22"/>
        </w:rPr>
        <w:t>v oblasti intervence 5.1 „Obnova NKP Hřebčín v Kladrubech nad Labem“</w:t>
      </w:r>
      <w:r w:rsidR="00A04E90">
        <w:rPr>
          <w:sz w:val="22"/>
          <w:szCs w:val="22"/>
        </w:rPr>
        <w:t xml:space="preserve"> přeřazen do kategorie vysoce rizikový.</w:t>
      </w:r>
      <w:r w:rsidR="006566DD">
        <w:rPr>
          <w:sz w:val="22"/>
          <w:szCs w:val="22"/>
        </w:rPr>
        <w:t xml:space="preserve"> Od poslední aktualizace došlo k částečnému posunu v realizaci projektu, zejména stavebních prací, přesto je ze strany ŘO IOP vnímáno velké riziko, zejména týkající se administrace </w:t>
      </w:r>
      <w:r w:rsidR="00C95ABC">
        <w:rPr>
          <w:sz w:val="22"/>
          <w:szCs w:val="22"/>
        </w:rPr>
        <w:t>projektu.</w:t>
      </w:r>
      <w:r w:rsidR="006566DD">
        <w:rPr>
          <w:sz w:val="22"/>
          <w:szCs w:val="22"/>
        </w:rPr>
        <w:t xml:space="preserve"> </w:t>
      </w:r>
    </w:p>
    <w:p w:rsidR="00B7179D" w:rsidRDefault="00B7179D" w:rsidP="003225D4">
      <w:pPr>
        <w:spacing w:line="276" w:lineRule="auto"/>
        <w:jc w:val="both"/>
        <w:rPr>
          <w:sz w:val="22"/>
          <w:szCs w:val="22"/>
        </w:rPr>
      </w:pPr>
    </w:p>
    <w:p w:rsidR="0036698B" w:rsidRPr="0083318D" w:rsidRDefault="002623B0" w:rsidP="003225D4">
      <w:pPr>
        <w:spacing w:line="276" w:lineRule="auto"/>
        <w:jc w:val="both"/>
        <w:rPr>
          <w:sz w:val="22"/>
          <w:szCs w:val="22"/>
        </w:rPr>
      </w:pPr>
      <w:r>
        <w:rPr>
          <w:sz w:val="22"/>
          <w:szCs w:val="22"/>
        </w:rPr>
        <w:t xml:space="preserve">U vysoce rizikových projektů došlo od </w:t>
      </w:r>
      <w:r w:rsidR="001C038B">
        <w:rPr>
          <w:sz w:val="22"/>
          <w:szCs w:val="22"/>
        </w:rPr>
        <w:t xml:space="preserve">dubnové </w:t>
      </w:r>
      <w:r>
        <w:rPr>
          <w:sz w:val="22"/>
          <w:szCs w:val="22"/>
        </w:rPr>
        <w:t xml:space="preserve">aktualizace </w:t>
      </w:r>
      <w:r w:rsidR="001C038B">
        <w:rPr>
          <w:sz w:val="22"/>
          <w:szCs w:val="22"/>
        </w:rPr>
        <w:t>k navýšení projektů</w:t>
      </w:r>
      <w:r w:rsidR="0083318D">
        <w:rPr>
          <w:sz w:val="22"/>
          <w:szCs w:val="22"/>
        </w:rPr>
        <w:t>,</w:t>
      </w:r>
      <w:r>
        <w:rPr>
          <w:sz w:val="22"/>
          <w:szCs w:val="22"/>
        </w:rPr>
        <w:t xml:space="preserve"> </w:t>
      </w:r>
      <w:r w:rsidR="00047508">
        <w:rPr>
          <w:sz w:val="22"/>
          <w:szCs w:val="22"/>
        </w:rPr>
        <w:t xml:space="preserve">u nichž </w:t>
      </w:r>
      <w:r w:rsidR="0083318D">
        <w:rPr>
          <w:sz w:val="22"/>
          <w:szCs w:val="22"/>
        </w:rPr>
        <w:t xml:space="preserve">je </w:t>
      </w:r>
      <w:r w:rsidR="003D5F03">
        <w:rPr>
          <w:sz w:val="22"/>
          <w:szCs w:val="22"/>
        </w:rPr>
        <w:t xml:space="preserve">Ministerstvo </w:t>
      </w:r>
      <w:r w:rsidR="0083318D">
        <w:rPr>
          <w:sz w:val="22"/>
          <w:szCs w:val="22"/>
        </w:rPr>
        <w:t>vnitra příjemcem</w:t>
      </w:r>
      <w:r>
        <w:rPr>
          <w:sz w:val="22"/>
          <w:szCs w:val="22"/>
        </w:rPr>
        <w:t xml:space="preserve"> (celkem o </w:t>
      </w:r>
      <w:r w:rsidR="001C038B">
        <w:rPr>
          <w:sz w:val="22"/>
          <w:szCs w:val="22"/>
        </w:rPr>
        <w:t>2</w:t>
      </w:r>
      <w:r>
        <w:rPr>
          <w:sz w:val="22"/>
          <w:szCs w:val="22"/>
        </w:rPr>
        <w:t xml:space="preserve"> projekty). </w:t>
      </w:r>
      <w:r w:rsidR="00186E6B">
        <w:rPr>
          <w:rFonts w:cs="Arial"/>
          <w:sz w:val="22"/>
          <w:szCs w:val="22"/>
        </w:rPr>
        <w:t>V kategorii rizikových projektů je</w:t>
      </w:r>
      <w:r w:rsidR="002836EA">
        <w:rPr>
          <w:rFonts w:cs="Arial"/>
          <w:sz w:val="22"/>
          <w:szCs w:val="22"/>
        </w:rPr>
        <w:t xml:space="preserve"> situace</w:t>
      </w:r>
      <w:r w:rsidR="008D589B">
        <w:rPr>
          <w:rFonts w:cs="Arial"/>
          <w:sz w:val="22"/>
          <w:szCs w:val="22"/>
        </w:rPr>
        <w:t xml:space="preserve"> také</w:t>
      </w:r>
      <w:r w:rsidR="00186E6B">
        <w:rPr>
          <w:rFonts w:cs="Arial"/>
          <w:sz w:val="22"/>
          <w:szCs w:val="22"/>
        </w:rPr>
        <w:t xml:space="preserve"> nejvíce kritická u </w:t>
      </w:r>
      <w:r w:rsidR="00047508">
        <w:rPr>
          <w:rFonts w:cs="Arial"/>
          <w:sz w:val="22"/>
          <w:szCs w:val="22"/>
        </w:rPr>
        <w:t xml:space="preserve">projektů </w:t>
      </w:r>
      <w:r w:rsidR="00186E6B">
        <w:rPr>
          <w:rFonts w:cs="Arial"/>
          <w:sz w:val="22"/>
          <w:szCs w:val="22"/>
        </w:rPr>
        <w:t xml:space="preserve">v gesci </w:t>
      </w:r>
      <w:r w:rsidR="00B7179D">
        <w:rPr>
          <w:rFonts w:cs="Arial"/>
          <w:sz w:val="22"/>
          <w:szCs w:val="22"/>
        </w:rPr>
        <w:t>M</w:t>
      </w:r>
      <w:r w:rsidR="00186E6B">
        <w:rPr>
          <w:rFonts w:cs="Arial"/>
          <w:sz w:val="22"/>
          <w:szCs w:val="22"/>
        </w:rPr>
        <w:t>inisterstva</w:t>
      </w:r>
      <w:r w:rsidR="00DF272B">
        <w:rPr>
          <w:rFonts w:cs="Arial"/>
          <w:sz w:val="22"/>
          <w:szCs w:val="22"/>
        </w:rPr>
        <w:t xml:space="preserve"> vnitra</w:t>
      </w:r>
      <w:r w:rsidR="00186E6B">
        <w:rPr>
          <w:rFonts w:cs="Arial"/>
          <w:sz w:val="22"/>
          <w:szCs w:val="22"/>
        </w:rPr>
        <w:t>.</w:t>
      </w:r>
      <w:r w:rsidR="00F509E9" w:rsidRPr="00F509E9">
        <w:t xml:space="preserve"> </w:t>
      </w:r>
      <w:r w:rsidR="00F509E9" w:rsidRPr="00F509E9">
        <w:rPr>
          <w:rFonts w:cs="Arial"/>
          <w:sz w:val="22"/>
          <w:szCs w:val="22"/>
        </w:rPr>
        <w:t>Další skupinou rizikových projektů jsou projekty v oblasti intervence 3.4</w:t>
      </w:r>
      <w:r w:rsidR="0065671B">
        <w:rPr>
          <w:rFonts w:cs="Arial"/>
          <w:sz w:val="22"/>
          <w:szCs w:val="22"/>
        </w:rPr>
        <w:t xml:space="preserve"> </w:t>
      </w:r>
      <w:r w:rsidR="0065671B" w:rsidRPr="0065671B">
        <w:rPr>
          <w:rFonts w:cs="Arial"/>
          <w:sz w:val="22"/>
          <w:szCs w:val="22"/>
        </w:rPr>
        <w:t>Služby v oblasti bezpečnosti, prevence a řešení rizik</w:t>
      </w:r>
      <w:r w:rsidR="00F509E9" w:rsidRPr="00F509E9">
        <w:rPr>
          <w:rFonts w:cs="Arial"/>
          <w:sz w:val="22"/>
          <w:szCs w:val="22"/>
        </w:rPr>
        <w:t xml:space="preserve">. Jedná se o projekty pořízení „Lokalizačních a záznamových zařízení Policie ČR“ a „Moderní technologie Policie ČR a Hasičského záchranného sboru ČR“. Tyto projekty </w:t>
      </w:r>
      <w:r w:rsidR="00B7179D">
        <w:rPr>
          <w:rFonts w:cs="Arial"/>
          <w:sz w:val="22"/>
          <w:szCs w:val="22"/>
        </w:rPr>
        <w:t xml:space="preserve">rovněž v gesci resortu MVČR </w:t>
      </w:r>
      <w:r w:rsidR="00F509E9" w:rsidRPr="00F509E9">
        <w:rPr>
          <w:rFonts w:cs="Arial"/>
          <w:sz w:val="22"/>
          <w:szCs w:val="22"/>
        </w:rPr>
        <w:t xml:space="preserve">jsou rizikové z hlediska realizace </w:t>
      </w:r>
      <w:r w:rsidR="00AC6698">
        <w:rPr>
          <w:rFonts w:cs="Arial"/>
          <w:sz w:val="22"/>
          <w:szCs w:val="22"/>
        </w:rPr>
        <w:t xml:space="preserve">(opakování) </w:t>
      </w:r>
      <w:r w:rsidR="00F509E9" w:rsidRPr="00F509E9">
        <w:rPr>
          <w:rFonts w:cs="Arial"/>
          <w:sz w:val="22"/>
          <w:szCs w:val="22"/>
        </w:rPr>
        <w:t xml:space="preserve">veřejných zakázek a následně možného posunu konce realizace projektů. </w:t>
      </w:r>
      <w:r w:rsidR="00186E6B">
        <w:rPr>
          <w:rFonts w:cs="Arial"/>
          <w:sz w:val="22"/>
          <w:szCs w:val="22"/>
        </w:rPr>
        <w:t xml:space="preserve"> </w:t>
      </w:r>
      <w:r w:rsidR="00B539F1">
        <w:rPr>
          <w:rFonts w:cs="Arial"/>
          <w:sz w:val="22"/>
          <w:szCs w:val="22"/>
        </w:rPr>
        <w:t>ŘO IOP identifikuje</w:t>
      </w:r>
      <w:r w:rsidR="002836EA">
        <w:rPr>
          <w:rFonts w:cs="Arial"/>
          <w:sz w:val="22"/>
          <w:szCs w:val="22"/>
        </w:rPr>
        <w:t xml:space="preserve"> stále</w:t>
      </w:r>
      <w:r w:rsidR="00B539F1">
        <w:rPr>
          <w:rFonts w:cs="Arial"/>
          <w:sz w:val="22"/>
          <w:szCs w:val="22"/>
        </w:rPr>
        <w:t xml:space="preserve"> jako rizikové téměř </w:t>
      </w:r>
      <w:r w:rsidR="00DF272B">
        <w:rPr>
          <w:rFonts w:cs="Arial"/>
          <w:sz w:val="22"/>
          <w:szCs w:val="22"/>
        </w:rPr>
        <w:t xml:space="preserve">všechny </w:t>
      </w:r>
      <w:r w:rsidR="00AC6698">
        <w:rPr>
          <w:rFonts w:cs="Arial"/>
          <w:sz w:val="22"/>
          <w:szCs w:val="22"/>
        </w:rPr>
        <w:t xml:space="preserve">ještě nedokončené </w:t>
      </w:r>
      <w:r w:rsidR="00DF272B">
        <w:rPr>
          <w:rFonts w:cs="Arial"/>
          <w:sz w:val="22"/>
          <w:szCs w:val="22"/>
        </w:rPr>
        <w:t>projekty</w:t>
      </w:r>
      <w:r w:rsidR="00B539F1">
        <w:rPr>
          <w:rFonts w:cs="Arial"/>
          <w:sz w:val="22"/>
          <w:szCs w:val="22"/>
        </w:rPr>
        <w:t xml:space="preserve"> </w:t>
      </w:r>
      <w:r w:rsidR="00AC6698">
        <w:rPr>
          <w:rFonts w:cs="Arial"/>
          <w:sz w:val="22"/>
          <w:szCs w:val="22"/>
        </w:rPr>
        <w:t xml:space="preserve">v </w:t>
      </w:r>
      <w:r w:rsidR="00B539F1">
        <w:rPr>
          <w:rFonts w:cs="Arial"/>
          <w:sz w:val="22"/>
          <w:szCs w:val="22"/>
        </w:rPr>
        <w:t>oblasti intervence 1.1</w:t>
      </w:r>
      <w:r w:rsidR="00B539F1" w:rsidRPr="00B539F1">
        <w:t xml:space="preserve"> </w:t>
      </w:r>
      <w:r w:rsidR="00B539F1" w:rsidRPr="00B539F1">
        <w:rPr>
          <w:rFonts w:cs="Arial"/>
          <w:sz w:val="22"/>
          <w:szCs w:val="22"/>
        </w:rPr>
        <w:t>Rozvoj informační společnosti ve veřejné správě</w:t>
      </w:r>
      <w:r w:rsidR="00B539F1">
        <w:rPr>
          <w:rFonts w:cs="Arial"/>
          <w:sz w:val="22"/>
          <w:szCs w:val="22"/>
        </w:rPr>
        <w:t>. Tyto proje</w:t>
      </w:r>
      <w:r w:rsidR="00C1727B">
        <w:rPr>
          <w:rFonts w:cs="Arial"/>
          <w:sz w:val="22"/>
          <w:szCs w:val="22"/>
        </w:rPr>
        <w:t>k</w:t>
      </w:r>
      <w:r w:rsidR="00B539F1">
        <w:rPr>
          <w:rFonts w:cs="Arial"/>
          <w:sz w:val="22"/>
          <w:szCs w:val="22"/>
        </w:rPr>
        <w:t>ty jsou rizikové zejména z důvodu</w:t>
      </w:r>
      <w:r w:rsidR="00B539F1" w:rsidRPr="00B539F1">
        <w:rPr>
          <w:rFonts w:cs="Arial"/>
          <w:sz w:val="22"/>
          <w:szCs w:val="22"/>
        </w:rPr>
        <w:t xml:space="preserve"> </w:t>
      </w:r>
      <w:r w:rsidR="00B539F1" w:rsidRPr="00513C72">
        <w:rPr>
          <w:rFonts w:cs="Arial"/>
          <w:sz w:val="22"/>
          <w:szCs w:val="22"/>
        </w:rPr>
        <w:t>napjatého</w:t>
      </w:r>
      <w:r w:rsidR="00B539F1">
        <w:rPr>
          <w:rFonts w:cs="Arial"/>
          <w:b/>
          <w:sz w:val="22"/>
          <w:szCs w:val="22"/>
        </w:rPr>
        <w:t xml:space="preserve"> </w:t>
      </w:r>
      <w:r w:rsidR="00B539F1">
        <w:rPr>
          <w:rFonts w:cs="Arial"/>
          <w:sz w:val="22"/>
          <w:szCs w:val="22"/>
        </w:rPr>
        <w:t xml:space="preserve">časového plánu. Důvodem je jejich schválení v průběhu léta a podzimu 2014, ze kterého vyplývá </w:t>
      </w:r>
      <w:r w:rsidR="00AC6698">
        <w:rPr>
          <w:rFonts w:cs="Arial"/>
          <w:sz w:val="22"/>
          <w:szCs w:val="22"/>
        </w:rPr>
        <w:t>krátká reálná doba pro</w:t>
      </w:r>
      <w:r w:rsidR="00B7179D">
        <w:rPr>
          <w:rFonts w:cs="Arial"/>
          <w:sz w:val="22"/>
          <w:szCs w:val="22"/>
        </w:rPr>
        <w:t xml:space="preserve"> </w:t>
      </w:r>
      <w:r w:rsidR="00B539F1">
        <w:rPr>
          <w:rFonts w:cs="Arial"/>
          <w:sz w:val="22"/>
          <w:szCs w:val="22"/>
        </w:rPr>
        <w:t>real</w:t>
      </w:r>
      <w:r w:rsidR="00AC6698">
        <w:rPr>
          <w:rFonts w:cs="Arial"/>
          <w:sz w:val="22"/>
          <w:szCs w:val="22"/>
        </w:rPr>
        <w:t>izaci</w:t>
      </w:r>
      <w:r w:rsidR="00402CEA">
        <w:rPr>
          <w:rFonts w:cs="Arial"/>
          <w:sz w:val="22"/>
          <w:szCs w:val="22"/>
        </w:rPr>
        <w:t xml:space="preserve"> zhruba jednoho</w:t>
      </w:r>
      <w:r w:rsidR="00B539F1">
        <w:rPr>
          <w:rFonts w:cs="Arial"/>
          <w:sz w:val="22"/>
          <w:szCs w:val="22"/>
        </w:rPr>
        <w:t xml:space="preserve"> rok</w:t>
      </w:r>
      <w:r w:rsidR="00402CEA">
        <w:rPr>
          <w:rFonts w:cs="Arial"/>
          <w:sz w:val="22"/>
          <w:szCs w:val="22"/>
        </w:rPr>
        <w:t>u</w:t>
      </w:r>
      <w:r w:rsidR="00B539F1">
        <w:rPr>
          <w:rFonts w:cs="Arial"/>
          <w:sz w:val="22"/>
          <w:szCs w:val="22"/>
        </w:rPr>
        <w:t>, a to</w:t>
      </w:r>
      <w:r w:rsidR="00513C72">
        <w:rPr>
          <w:rFonts w:cs="Arial"/>
          <w:sz w:val="22"/>
          <w:szCs w:val="22"/>
        </w:rPr>
        <w:t xml:space="preserve"> včetně</w:t>
      </w:r>
      <w:r w:rsidR="00B539F1">
        <w:rPr>
          <w:rFonts w:cs="Arial"/>
          <w:sz w:val="22"/>
          <w:szCs w:val="22"/>
        </w:rPr>
        <w:t xml:space="preserve"> </w:t>
      </w:r>
      <w:r w:rsidR="00513C72">
        <w:rPr>
          <w:rFonts w:cs="Arial"/>
          <w:sz w:val="22"/>
          <w:szCs w:val="22"/>
        </w:rPr>
        <w:t>uskutečnění</w:t>
      </w:r>
      <w:r w:rsidR="00B539F1">
        <w:rPr>
          <w:rFonts w:cs="Arial"/>
          <w:sz w:val="22"/>
          <w:szCs w:val="22"/>
        </w:rPr>
        <w:t xml:space="preserve"> všech veřejných zakázek.</w:t>
      </w:r>
      <w:r w:rsidR="00C73665">
        <w:rPr>
          <w:rFonts w:cs="Arial"/>
          <w:sz w:val="22"/>
          <w:szCs w:val="22"/>
        </w:rPr>
        <w:t xml:space="preserve"> </w:t>
      </w:r>
      <w:r w:rsidR="00B539F1" w:rsidRPr="00AC6698">
        <w:rPr>
          <w:rFonts w:cs="Arial"/>
          <w:b/>
          <w:sz w:val="22"/>
          <w:szCs w:val="22"/>
        </w:rPr>
        <w:t xml:space="preserve">Je tedy nezbytně nutné, aby příjemci projektů vyvinuli maximální úsilí při realizaci jednotlivých fází projektu a předcházeli všem rizikovým </w:t>
      </w:r>
      <w:r w:rsidR="00513C72" w:rsidRPr="00AC6698">
        <w:rPr>
          <w:rFonts w:cs="Arial"/>
          <w:b/>
          <w:sz w:val="22"/>
          <w:szCs w:val="22"/>
        </w:rPr>
        <w:t xml:space="preserve">faktorům </w:t>
      </w:r>
      <w:r w:rsidR="00AC6698" w:rsidRPr="00AC6698">
        <w:rPr>
          <w:rFonts w:cs="Arial"/>
          <w:b/>
          <w:sz w:val="22"/>
          <w:szCs w:val="22"/>
        </w:rPr>
        <w:t xml:space="preserve">ohrožující zdárné dokončení </w:t>
      </w:r>
      <w:r w:rsidR="00E00F86" w:rsidRPr="00AC6698">
        <w:rPr>
          <w:rFonts w:cs="Arial"/>
          <w:b/>
          <w:sz w:val="22"/>
          <w:szCs w:val="22"/>
        </w:rPr>
        <w:t>projekt</w:t>
      </w:r>
      <w:r w:rsidR="00E00F86">
        <w:rPr>
          <w:rFonts w:cs="Arial"/>
          <w:b/>
          <w:sz w:val="22"/>
          <w:szCs w:val="22"/>
        </w:rPr>
        <w:t>ů</w:t>
      </w:r>
      <w:r w:rsidR="00513C72" w:rsidRPr="00AC6698">
        <w:rPr>
          <w:rFonts w:cs="Arial"/>
          <w:b/>
          <w:sz w:val="22"/>
          <w:szCs w:val="22"/>
        </w:rPr>
        <w:t>.</w:t>
      </w:r>
      <w:r w:rsidR="00C73665">
        <w:rPr>
          <w:rFonts w:cs="Arial"/>
          <w:sz w:val="22"/>
          <w:szCs w:val="22"/>
        </w:rPr>
        <w:t xml:space="preserve"> ŘO </w:t>
      </w:r>
      <w:r w:rsidR="00B7179D">
        <w:rPr>
          <w:rFonts w:cs="Arial"/>
          <w:sz w:val="22"/>
          <w:szCs w:val="22"/>
        </w:rPr>
        <w:t xml:space="preserve">IOP </w:t>
      </w:r>
      <w:r w:rsidR="00C73665">
        <w:rPr>
          <w:rFonts w:cs="Arial"/>
          <w:sz w:val="22"/>
          <w:szCs w:val="22"/>
        </w:rPr>
        <w:t xml:space="preserve">ve spolupráci se ZS provádí s příjemci krizové řízení projektů a poskytuje </w:t>
      </w:r>
      <w:r w:rsidR="00B7179D">
        <w:rPr>
          <w:rFonts w:cs="Arial"/>
          <w:sz w:val="22"/>
          <w:szCs w:val="22"/>
        </w:rPr>
        <w:t xml:space="preserve">maximální </w:t>
      </w:r>
      <w:r w:rsidR="00C73665">
        <w:rPr>
          <w:rFonts w:cs="Arial"/>
          <w:sz w:val="22"/>
          <w:szCs w:val="22"/>
        </w:rPr>
        <w:t xml:space="preserve">součinnost </w:t>
      </w:r>
      <w:r w:rsidR="00B7179D">
        <w:rPr>
          <w:rFonts w:cs="Arial"/>
          <w:sz w:val="22"/>
          <w:szCs w:val="22"/>
        </w:rPr>
        <w:t>při</w:t>
      </w:r>
      <w:r w:rsidR="00C73665">
        <w:rPr>
          <w:rFonts w:cs="Arial"/>
          <w:sz w:val="22"/>
          <w:szCs w:val="22"/>
        </w:rPr>
        <w:t> realizaci projektů</w:t>
      </w:r>
      <w:r w:rsidR="00AC6698">
        <w:rPr>
          <w:rFonts w:cs="Arial"/>
          <w:sz w:val="22"/>
          <w:szCs w:val="22"/>
        </w:rPr>
        <w:t xml:space="preserve"> a řešení vzniklých problémů (viz dále)</w:t>
      </w:r>
      <w:r w:rsidR="00C73665">
        <w:rPr>
          <w:rFonts w:cs="Arial"/>
          <w:sz w:val="22"/>
          <w:szCs w:val="22"/>
        </w:rPr>
        <w:t xml:space="preserve">. </w:t>
      </w:r>
    </w:p>
    <w:p w:rsidR="00856B70" w:rsidRDefault="00856B70" w:rsidP="003225D4">
      <w:pPr>
        <w:spacing w:line="276" w:lineRule="auto"/>
        <w:jc w:val="both"/>
        <w:rPr>
          <w:rFonts w:cs="Arial"/>
          <w:sz w:val="22"/>
          <w:szCs w:val="22"/>
        </w:rPr>
      </w:pPr>
    </w:p>
    <w:p w:rsidR="000E16CE" w:rsidRDefault="00E00F86" w:rsidP="00770E9F">
      <w:pPr>
        <w:spacing w:line="276" w:lineRule="auto"/>
        <w:jc w:val="both"/>
        <w:rPr>
          <w:rFonts w:cs="Arial"/>
          <w:sz w:val="22"/>
          <w:szCs w:val="22"/>
        </w:rPr>
      </w:pPr>
      <w:r>
        <w:rPr>
          <w:rFonts w:cs="Arial"/>
          <w:sz w:val="22"/>
          <w:szCs w:val="22"/>
        </w:rPr>
        <w:t xml:space="preserve">Ministerstva </w:t>
      </w:r>
      <w:r w:rsidR="00856B70">
        <w:rPr>
          <w:rFonts w:cs="Arial"/>
          <w:sz w:val="22"/>
          <w:szCs w:val="22"/>
        </w:rPr>
        <w:t>vnitra</w:t>
      </w:r>
      <w:r w:rsidR="007A41D7">
        <w:rPr>
          <w:rFonts w:cs="Arial"/>
          <w:sz w:val="22"/>
          <w:szCs w:val="22"/>
        </w:rPr>
        <w:t xml:space="preserve">, práce a sociálních věci a zdravotnictví </w:t>
      </w:r>
      <w:r w:rsidR="00D944D2">
        <w:rPr>
          <w:rFonts w:cs="Arial"/>
          <w:sz w:val="22"/>
          <w:szCs w:val="22"/>
        </w:rPr>
        <w:t>jsou na</w:t>
      </w:r>
      <w:r w:rsidR="007A41D7">
        <w:rPr>
          <w:rFonts w:cs="Arial"/>
          <w:sz w:val="22"/>
          <w:szCs w:val="22"/>
        </w:rPr>
        <w:t xml:space="preserve"> základě uzavřených dohod o delegování činností zprostředkujícím</w:t>
      </w:r>
      <w:r w:rsidR="00AC6698">
        <w:rPr>
          <w:rFonts w:cs="Arial"/>
          <w:sz w:val="22"/>
          <w:szCs w:val="22"/>
        </w:rPr>
        <w:t>i subjekty</w:t>
      </w:r>
      <w:r w:rsidR="007A41D7">
        <w:rPr>
          <w:rFonts w:cs="Arial"/>
          <w:sz w:val="22"/>
          <w:szCs w:val="22"/>
        </w:rPr>
        <w:t xml:space="preserve"> v implementační struktuře IOP a jsou pověřeny výkonem některých úkolů Řídícího orgánu. ŘO IOP na</w:t>
      </w:r>
      <w:r w:rsidR="000E16CE">
        <w:rPr>
          <w:rFonts w:cs="Arial"/>
          <w:sz w:val="22"/>
          <w:szCs w:val="22"/>
        </w:rPr>
        <w:t xml:space="preserve"> tyto</w:t>
      </w:r>
      <w:r w:rsidR="007A41D7">
        <w:rPr>
          <w:rFonts w:cs="Arial"/>
          <w:sz w:val="22"/>
          <w:szCs w:val="22"/>
        </w:rPr>
        <w:t xml:space="preserve"> zprostředkující subjekty delegoval úkoly spojené s příjmem, hodnocením, výběrem</w:t>
      </w:r>
      <w:r w:rsidR="00EC465F">
        <w:rPr>
          <w:rFonts w:cs="Arial"/>
          <w:sz w:val="22"/>
          <w:szCs w:val="22"/>
        </w:rPr>
        <w:t>,</w:t>
      </w:r>
      <w:r w:rsidR="007A41D7">
        <w:rPr>
          <w:rFonts w:cs="Arial"/>
          <w:sz w:val="22"/>
          <w:szCs w:val="22"/>
        </w:rPr>
        <w:t xml:space="preserve"> monitoringem a kontrolou projektů.</w:t>
      </w:r>
      <w:r w:rsidR="007307E1">
        <w:rPr>
          <w:rFonts w:cs="Arial"/>
          <w:sz w:val="22"/>
          <w:szCs w:val="22"/>
        </w:rPr>
        <w:t xml:space="preserve"> Výše zmíněné resorty jsou také poskytovatelem dotace v daných oblastech intervence. </w:t>
      </w:r>
      <w:r w:rsidR="00F14DAF">
        <w:rPr>
          <w:rFonts w:cs="Arial"/>
          <w:sz w:val="22"/>
          <w:szCs w:val="22"/>
        </w:rPr>
        <w:t xml:space="preserve">Aktuálně považuje ŘO IOP práci vykonávanou zprostředkujícími subjekty s rizikovými projekty za bezproblémovou a po dvouletém odlaďování postupů a zkracování termínů u jednotlivých procesů na straně ZS IOP za optimální. </w:t>
      </w:r>
    </w:p>
    <w:p w:rsidR="00A04E90" w:rsidRDefault="00A04E90" w:rsidP="00770E9F">
      <w:pPr>
        <w:spacing w:line="276" w:lineRule="auto"/>
        <w:jc w:val="both"/>
        <w:rPr>
          <w:rFonts w:cs="Arial"/>
          <w:sz w:val="22"/>
          <w:szCs w:val="22"/>
        </w:rPr>
      </w:pPr>
    </w:p>
    <w:p w:rsidR="00A0150D" w:rsidRDefault="00A0150D" w:rsidP="00A0150D">
      <w:pPr>
        <w:spacing w:line="276" w:lineRule="auto"/>
        <w:jc w:val="both"/>
        <w:rPr>
          <w:rFonts w:cs="Arial"/>
          <w:sz w:val="22"/>
          <w:szCs w:val="22"/>
        </w:rPr>
      </w:pPr>
      <w:r>
        <w:rPr>
          <w:rFonts w:cs="Arial"/>
          <w:sz w:val="22"/>
          <w:szCs w:val="22"/>
        </w:rPr>
        <w:t>Celkov</w:t>
      </w:r>
      <w:r w:rsidR="0048131F">
        <w:rPr>
          <w:rFonts w:cs="Arial"/>
          <w:sz w:val="22"/>
          <w:szCs w:val="22"/>
        </w:rPr>
        <w:t xml:space="preserve">ý posun </w:t>
      </w:r>
      <w:r>
        <w:rPr>
          <w:rFonts w:cs="Arial"/>
          <w:sz w:val="22"/>
          <w:szCs w:val="22"/>
        </w:rPr>
        <w:t xml:space="preserve">problémových projektů, změň kritérií rizikovosti a objemu finančních prostředků ve srovnání s aktualizací z dubna 2015 je uvedena v následujících rekapitulačních tabulkách. </w:t>
      </w:r>
    </w:p>
    <w:p w:rsidR="00A0150D" w:rsidRDefault="00A0150D" w:rsidP="00A0150D">
      <w:pPr>
        <w:spacing w:line="276" w:lineRule="auto"/>
        <w:jc w:val="both"/>
        <w:rPr>
          <w:rFonts w:cs="Arial"/>
          <w:sz w:val="22"/>
          <w:szCs w:val="22"/>
        </w:rPr>
      </w:pPr>
    </w:p>
    <w:p w:rsidR="0048131F" w:rsidRDefault="00A0150D" w:rsidP="00A0150D">
      <w:pPr>
        <w:spacing w:line="276" w:lineRule="auto"/>
        <w:jc w:val="both"/>
        <w:rPr>
          <w:rFonts w:cs="Arial"/>
          <w:sz w:val="22"/>
          <w:szCs w:val="22"/>
        </w:rPr>
      </w:pPr>
      <w:r>
        <w:rPr>
          <w:rFonts w:cs="Arial"/>
          <w:sz w:val="22"/>
          <w:szCs w:val="22"/>
        </w:rPr>
        <w:t>Od aktualizace k dubnu 2015 došlo k červenci 2015 k posunu 1 projektu z kategorie spící v hodnotě cca. 299 mil. Kč. U třinácti projektů v hodnotě cca. 2,929 mld. Kč došlo k přesunu z kategorie rizikových</w:t>
      </w:r>
      <w:r w:rsidR="0048131F">
        <w:rPr>
          <w:rFonts w:cs="Arial"/>
          <w:sz w:val="22"/>
          <w:szCs w:val="22"/>
        </w:rPr>
        <w:t xml:space="preserve"> projektů</w:t>
      </w:r>
      <w:r>
        <w:rPr>
          <w:rFonts w:cs="Arial"/>
          <w:sz w:val="22"/>
          <w:szCs w:val="22"/>
        </w:rPr>
        <w:t xml:space="preserve"> do kategorie vysoce rizikových</w:t>
      </w:r>
      <w:r w:rsidR="0048131F">
        <w:rPr>
          <w:rFonts w:cs="Arial"/>
          <w:sz w:val="22"/>
          <w:szCs w:val="22"/>
        </w:rPr>
        <w:t xml:space="preserve"> projektů</w:t>
      </w:r>
      <w:r>
        <w:rPr>
          <w:rFonts w:cs="Arial"/>
          <w:sz w:val="22"/>
          <w:szCs w:val="22"/>
        </w:rPr>
        <w:t>.</w:t>
      </w:r>
      <w:r w:rsidR="0048131F">
        <w:rPr>
          <w:rFonts w:cs="Arial"/>
          <w:sz w:val="22"/>
          <w:szCs w:val="22"/>
        </w:rPr>
        <w:t xml:space="preserve"> Celkem</w:t>
      </w:r>
      <w:r>
        <w:rPr>
          <w:rFonts w:cs="Arial"/>
          <w:sz w:val="22"/>
          <w:szCs w:val="22"/>
        </w:rPr>
        <w:t xml:space="preserve"> 22 projektů bylo v sestavě generované k červenci </w:t>
      </w:r>
      <w:r w:rsidR="0048131F">
        <w:rPr>
          <w:rFonts w:cs="Arial"/>
          <w:sz w:val="22"/>
          <w:szCs w:val="22"/>
        </w:rPr>
        <w:t xml:space="preserve">2015 </w:t>
      </w:r>
      <w:r>
        <w:rPr>
          <w:rFonts w:cs="Arial"/>
          <w:sz w:val="22"/>
          <w:szCs w:val="22"/>
        </w:rPr>
        <w:t>identifikováno</w:t>
      </w:r>
      <w:r w:rsidR="0048131F">
        <w:rPr>
          <w:rFonts w:cs="Arial"/>
          <w:sz w:val="22"/>
          <w:szCs w:val="22"/>
        </w:rPr>
        <w:t xml:space="preserve"> nově</w:t>
      </w:r>
      <w:r>
        <w:rPr>
          <w:rFonts w:cs="Arial"/>
          <w:sz w:val="22"/>
          <w:szCs w:val="22"/>
        </w:rPr>
        <w:t xml:space="preserve"> jako vysoce rizikové projekty. Jedná se </w:t>
      </w:r>
      <w:r w:rsidR="0048131F">
        <w:rPr>
          <w:rFonts w:cs="Arial"/>
          <w:sz w:val="22"/>
          <w:szCs w:val="22"/>
        </w:rPr>
        <w:t xml:space="preserve">o </w:t>
      </w:r>
      <w:r>
        <w:rPr>
          <w:rFonts w:cs="Arial"/>
          <w:sz w:val="22"/>
          <w:szCs w:val="22"/>
        </w:rPr>
        <w:t>z</w:t>
      </w:r>
      <w:r w:rsidR="0048131F">
        <w:rPr>
          <w:rFonts w:cs="Arial"/>
          <w:sz w:val="22"/>
          <w:szCs w:val="22"/>
        </w:rPr>
        <w:t>c</w:t>
      </w:r>
      <w:r>
        <w:rPr>
          <w:rFonts w:cs="Arial"/>
          <w:sz w:val="22"/>
          <w:szCs w:val="22"/>
        </w:rPr>
        <w:t xml:space="preserve">ela nově identifikované projekty ve srovnání s aktualizací sestavy k dubnu 2015. Tyto projekty jsou v hodnotě cca. 900 mil Kč. </w:t>
      </w:r>
    </w:p>
    <w:p w:rsidR="002342BE" w:rsidRDefault="00A0150D" w:rsidP="00A0150D">
      <w:pPr>
        <w:spacing w:line="276" w:lineRule="auto"/>
        <w:jc w:val="both"/>
        <w:rPr>
          <w:rFonts w:cs="Arial"/>
          <w:sz w:val="22"/>
          <w:szCs w:val="22"/>
        </w:rPr>
      </w:pPr>
      <w:r>
        <w:rPr>
          <w:rFonts w:cs="Arial"/>
          <w:sz w:val="22"/>
          <w:szCs w:val="22"/>
        </w:rPr>
        <w:lastRenderedPageBreak/>
        <w:t>U 11 projektů</w:t>
      </w:r>
      <w:r w:rsidR="002342BE">
        <w:rPr>
          <w:rFonts w:cs="Arial"/>
          <w:sz w:val="22"/>
          <w:szCs w:val="22"/>
        </w:rPr>
        <w:t xml:space="preserve"> v hodnotě cca. 1, 915 mld. Kč</w:t>
      </w:r>
      <w:r>
        <w:rPr>
          <w:rFonts w:cs="Arial"/>
          <w:sz w:val="22"/>
          <w:szCs w:val="22"/>
        </w:rPr>
        <w:t xml:space="preserve"> v kategorii vysoce rizikové </w:t>
      </w:r>
      <w:r w:rsidR="002342BE">
        <w:rPr>
          <w:rFonts w:cs="Arial"/>
          <w:sz w:val="22"/>
          <w:szCs w:val="22"/>
        </w:rPr>
        <w:t xml:space="preserve">nedošlo ve srovnání s předchozí aktualizací k žádnému posunu a nadále zůstávají v kategorii vysoce rizikových projektů. </w:t>
      </w:r>
    </w:p>
    <w:p w:rsidR="002342BE" w:rsidRDefault="002342BE" w:rsidP="00A0150D">
      <w:pPr>
        <w:spacing w:line="276" w:lineRule="auto"/>
        <w:jc w:val="both"/>
        <w:rPr>
          <w:rFonts w:cs="Arial"/>
          <w:sz w:val="22"/>
          <w:szCs w:val="22"/>
        </w:rPr>
      </w:pPr>
    </w:p>
    <w:p w:rsidR="00A0150D" w:rsidRDefault="002342BE" w:rsidP="00A0150D">
      <w:pPr>
        <w:spacing w:line="276" w:lineRule="auto"/>
        <w:jc w:val="both"/>
        <w:rPr>
          <w:rFonts w:cs="Arial"/>
          <w:sz w:val="22"/>
          <w:szCs w:val="22"/>
        </w:rPr>
      </w:pPr>
      <w:r>
        <w:rPr>
          <w:rFonts w:cs="Arial"/>
          <w:sz w:val="22"/>
          <w:szCs w:val="22"/>
        </w:rPr>
        <w:t>V kategorii rizikových projektů bylo nově zařazeno 67 projektů v hodnotě cca. 931 mil. Kč., 18 projektů v hodnotě cca. 957 mil. Kč nadále zůstává v kategorii rizikových projektů a 4 projekty v hodnotě cca. 970 mil. Kč byly přesunuty z kategorie vysoce rizikových projektů.</w:t>
      </w:r>
    </w:p>
    <w:p w:rsidR="00A0150D" w:rsidRDefault="00A0150D" w:rsidP="00770E9F">
      <w:pPr>
        <w:spacing w:line="276" w:lineRule="auto"/>
        <w:jc w:val="both"/>
        <w:rPr>
          <w:rFonts w:cs="Arial"/>
          <w:sz w:val="22"/>
          <w:szCs w:val="22"/>
        </w:rPr>
      </w:pPr>
    </w:p>
    <w:p w:rsidR="00A0150D" w:rsidRDefault="00236AEC" w:rsidP="00770E9F">
      <w:pPr>
        <w:spacing w:line="276" w:lineRule="auto"/>
        <w:jc w:val="both"/>
        <w:rPr>
          <w:rFonts w:cs="Arial"/>
          <w:sz w:val="22"/>
          <w:szCs w:val="22"/>
        </w:rPr>
      </w:pPr>
      <w:r w:rsidRPr="006B07E1">
        <w:rPr>
          <w:color w:val="000000" w:themeColor="text1"/>
          <w:sz w:val="22"/>
          <w:szCs w:val="22"/>
        </w:rPr>
        <w:t xml:space="preserve">Rekapitulační tabulka o počtech projektů v jednotlivých kategoriích a posun z hlediska počtu projektů a objemu </w:t>
      </w:r>
      <w:r>
        <w:rPr>
          <w:color w:val="000000" w:themeColor="text1"/>
          <w:sz w:val="22"/>
          <w:szCs w:val="22"/>
        </w:rPr>
        <w:t xml:space="preserve">peněz </w:t>
      </w:r>
      <w:r w:rsidRPr="006B07E1">
        <w:rPr>
          <w:color w:val="000000" w:themeColor="text1"/>
          <w:sz w:val="22"/>
          <w:szCs w:val="22"/>
        </w:rPr>
        <w:t>z 1. 4. 2015</w:t>
      </w:r>
    </w:p>
    <w:p w:rsidR="00A0150D" w:rsidRDefault="00A0150D" w:rsidP="00770E9F">
      <w:pPr>
        <w:spacing w:line="276" w:lineRule="auto"/>
        <w:jc w:val="both"/>
        <w:rPr>
          <w:rFonts w:cs="Arial"/>
          <w:sz w:val="22"/>
          <w:szCs w:val="22"/>
        </w:rPr>
      </w:pP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25"/>
        <w:gridCol w:w="818"/>
        <w:gridCol w:w="1553"/>
        <w:gridCol w:w="855"/>
        <w:gridCol w:w="1919"/>
        <w:gridCol w:w="871"/>
        <w:gridCol w:w="1847"/>
      </w:tblGrid>
      <w:tr w:rsidR="00236AEC" w:rsidRPr="00236AEC" w:rsidTr="00236AEC">
        <w:trPr>
          <w:trHeight w:val="801"/>
        </w:trPr>
        <w:tc>
          <w:tcPr>
            <w:tcW w:w="1425" w:type="dxa"/>
            <w:vMerge w:val="restart"/>
            <w:tcBorders>
              <w:top w:val="nil"/>
              <w:left w:val="nil"/>
              <w:bottom w:val="nil"/>
              <w:right w:val="single" w:sz="4" w:space="0" w:color="auto"/>
            </w:tcBorders>
            <w:shd w:val="clear" w:color="auto" w:fill="auto"/>
            <w:vAlign w:val="center"/>
          </w:tcPr>
          <w:p w:rsidR="00236AEC" w:rsidRPr="00236AEC" w:rsidRDefault="00236AEC" w:rsidP="00236AEC">
            <w:pPr>
              <w:jc w:val="center"/>
              <w:rPr>
                <w:rFonts w:asciiTheme="minorHAnsi" w:eastAsiaTheme="minorHAnsi" w:hAnsiTheme="minorHAnsi" w:cstheme="minorBidi"/>
                <w:b/>
                <w:sz w:val="22"/>
                <w:szCs w:val="22"/>
                <w:lang w:eastAsia="en-US"/>
              </w:rPr>
            </w:pPr>
          </w:p>
        </w:tc>
        <w:tc>
          <w:tcPr>
            <w:tcW w:w="2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Spící projekty (1.7.)</w:t>
            </w:r>
          </w:p>
        </w:tc>
        <w:tc>
          <w:tcPr>
            <w:tcW w:w="2774" w:type="dxa"/>
            <w:gridSpan w:val="2"/>
            <w:tcBorders>
              <w:top w:val="single" w:sz="4"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Vysoce rizikové projekty (1.7.)</w:t>
            </w:r>
          </w:p>
        </w:tc>
        <w:tc>
          <w:tcPr>
            <w:tcW w:w="2718" w:type="dxa"/>
            <w:gridSpan w:val="2"/>
            <w:tcBorders>
              <w:top w:val="single" w:sz="4"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Rizikové projekty (1.7.)</w:t>
            </w:r>
          </w:p>
        </w:tc>
      </w:tr>
      <w:tr w:rsidR="00236AEC" w:rsidRPr="00236AEC" w:rsidTr="00236AEC">
        <w:trPr>
          <w:trHeight w:val="801"/>
        </w:trPr>
        <w:tc>
          <w:tcPr>
            <w:tcW w:w="1425" w:type="dxa"/>
            <w:vMerge/>
            <w:tcBorders>
              <w:top w:val="nil"/>
              <w:left w:val="nil"/>
              <w:bottom w:val="single" w:sz="4" w:space="0" w:color="auto"/>
              <w:right w:val="single" w:sz="4" w:space="0" w:color="auto"/>
            </w:tcBorders>
            <w:shd w:val="clear" w:color="auto" w:fill="auto"/>
            <w:vAlign w:val="center"/>
          </w:tcPr>
          <w:p w:rsidR="00236AEC" w:rsidRPr="00236AEC" w:rsidRDefault="00236AEC" w:rsidP="00236AEC">
            <w:pPr>
              <w:jc w:val="center"/>
              <w:rPr>
                <w:rFonts w:asciiTheme="minorHAnsi" w:eastAsiaTheme="minorHAnsi" w:hAnsiTheme="minorHAnsi" w:cstheme="minorBidi"/>
                <w:b/>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553" w:type="dxa"/>
            <w:tcBorders>
              <w:top w:val="single" w:sz="4"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w:t>
            </w:r>
          </w:p>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 xml:space="preserve">SF+SR Rozhodnutí (v Kč) </w:t>
            </w:r>
          </w:p>
        </w:tc>
        <w:tc>
          <w:tcPr>
            <w:tcW w:w="855" w:type="dxa"/>
            <w:tcBorders>
              <w:top w:val="single" w:sz="6"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919"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 xml:space="preserve">objem </w:t>
            </w:r>
          </w:p>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SF+SR Rozhodnutí (v Kč)</w:t>
            </w:r>
          </w:p>
        </w:tc>
        <w:tc>
          <w:tcPr>
            <w:tcW w:w="871" w:type="dxa"/>
            <w:tcBorders>
              <w:top w:val="single" w:sz="6"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847" w:type="dxa"/>
            <w:tcBorders>
              <w:top w:val="single" w:sz="6"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w:t>
            </w:r>
          </w:p>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SF+SR Rozhodnutí (v Kč)</w:t>
            </w:r>
          </w:p>
        </w:tc>
      </w:tr>
      <w:tr w:rsidR="00236AEC" w:rsidRPr="00236AEC" w:rsidTr="00236AEC">
        <w:trPr>
          <w:trHeight w:val="1167"/>
        </w:trPr>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Přesun ze spících projektů (1.4.)</w:t>
            </w:r>
          </w:p>
        </w:tc>
        <w:tc>
          <w:tcPr>
            <w:tcW w:w="818" w:type="dxa"/>
            <w:tcBorders>
              <w:top w:val="single" w:sz="4" w:space="0" w:color="auto"/>
              <w:left w:val="single" w:sz="4" w:space="0" w:color="auto"/>
              <w:bottom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c>
          <w:tcPr>
            <w:tcW w:w="1553" w:type="dxa"/>
            <w:tcBorders>
              <w:top w:val="single" w:sz="6" w:space="0" w:color="auto"/>
              <w:bottom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c>
          <w:tcPr>
            <w:tcW w:w="855" w:type="dxa"/>
            <w:tcBorders>
              <w:top w:val="single" w:sz="6" w:space="0" w:color="auto"/>
              <w:bottom w:val="single" w:sz="4" w:space="0" w:color="auto"/>
              <w:right w:val="single" w:sz="4"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1</w:t>
            </w:r>
          </w:p>
        </w:tc>
        <w:tc>
          <w:tcPr>
            <w:tcW w:w="1919" w:type="dxa"/>
            <w:tcBorders>
              <w:top w:val="single" w:sz="6" w:space="0" w:color="auto"/>
              <w:left w:val="single" w:sz="4" w:space="0" w:color="auto"/>
              <w:bottom w:val="single" w:sz="6"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color w:val="000000"/>
                <w:sz w:val="22"/>
                <w:szCs w:val="22"/>
                <w:lang w:eastAsia="en-US"/>
              </w:rPr>
            </w:pPr>
            <w:r w:rsidRPr="00236AEC">
              <w:rPr>
                <w:rFonts w:asciiTheme="minorHAnsi" w:eastAsiaTheme="minorHAnsi" w:hAnsiTheme="minorHAnsi" w:cstheme="minorBidi"/>
                <w:color w:val="000000"/>
                <w:sz w:val="22"/>
                <w:szCs w:val="22"/>
                <w:lang w:eastAsia="en-US"/>
              </w:rPr>
              <w:t>299 491 700,- Kč</w:t>
            </w:r>
          </w:p>
        </w:tc>
        <w:tc>
          <w:tcPr>
            <w:tcW w:w="871" w:type="dxa"/>
            <w:tcBorders>
              <w:top w:val="single" w:sz="6" w:space="0" w:color="auto"/>
              <w:bottom w:val="single" w:sz="6"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w:t>
            </w:r>
          </w:p>
        </w:tc>
        <w:tc>
          <w:tcPr>
            <w:tcW w:w="1847" w:type="dxa"/>
            <w:tcBorders>
              <w:top w:val="single" w:sz="6" w:space="0" w:color="auto"/>
              <w:bottom w:val="single" w:sz="6" w:space="0" w:color="auto"/>
              <w:right w:val="single" w:sz="4"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 Kč</w:t>
            </w:r>
          </w:p>
        </w:tc>
      </w:tr>
      <w:tr w:rsidR="00236AEC" w:rsidRPr="00236AEC" w:rsidTr="00236AEC">
        <w:trPr>
          <w:trHeight w:val="1164"/>
        </w:trPr>
        <w:tc>
          <w:tcPr>
            <w:tcW w:w="1425" w:type="dxa"/>
            <w:tcBorders>
              <w:top w:val="single" w:sz="4"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Přesun z vysoce rizikových projektů</w:t>
            </w:r>
          </w:p>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 xml:space="preserve"> k (1.4.)</w:t>
            </w:r>
          </w:p>
        </w:tc>
        <w:tc>
          <w:tcPr>
            <w:tcW w:w="818" w:type="dxa"/>
            <w:tcBorders>
              <w:top w:val="single" w:sz="4"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w:t>
            </w:r>
          </w:p>
        </w:tc>
        <w:tc>
          <w:tcPr>
            <w:tcW w:w="1553" w:type="dxa"/>
            <w:tcBorders>
              <w:top w:val="single" w:sz="4"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 Kč</w:t>
            </w:r>
          </w:p>
        </w:tc>
        <w:tc>
          <w:tcPr>
            <w:tcW w:w="855" w:type="dxa"/>
            <w:tcBorders>
              <w:top w:val="single" w:sz="4"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c>
          <w:tcPr>
            <w:tcW w:w="1919"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c>
          <w:tcPr>
            <w:tcW w:w="871" w:type="dxa"/>
            <w:tcBorders>
              <w:top w:val="single" w:sz="6" w:space="0" w:color="auto"/>
              <w:bottom w:val="single" w:sz="6"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4</w:t>
            </w:r>
          </w:p>
        </w:tc>
        <w:tc>
          <w:tcPr>
            <w:tcW w:w="1847" w:type="dxa"/>
            <w:tcBorders>
              <w:top w:val="single" w:sz="6" w:space="0" w:color="auto"/>
              <w:bottom w:val="single" w:sz="6" w:space="0" w:color="auto"/>
              <w:right w:val="single" w:sz="4"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970 843 971,- Kč</w:t>
            </w:r>
          </w:p>
        </w:tc>
      </w:tr>
      <w:tr w:rsidR="00236AEC" w:rsidRPr="00236AEC" w:rsidTr="00236AEC">
        <w:trPr>
          <w:trHeight w:val="1164"/>
        </w:trPr>
        <w:tc>
          <w:tcPr>
            <w:tcW w:w="1425"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Přesun z rizikových projektů k (1.4.)</w:t>
            </w:r>
          </w:p>
        </w:tc>
        <w:tc>
          <w:tcPr>
            <w:tcW w:w="818" w:type="dxa"/>
            <w:tcBorders>
              <w:top w:val="single" w:sz="6"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w:t>
            </w:r>
          </w:p>
        </w:tc>
        <w:tc>
          <w:tcPr>
            <w:tcW w:w="1553" w:type="dxa"/>
            <w:tcBorders>
              <w:top w:val="single" w:sz="6"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 Kč</w:t>
            </w:r>
          </w:p>
        </w:tc>
        <w:tc>
          <w:tcPr>
            <w:tcW w:w="855" w:type="dxa"/>
            <w:tcBorders>
              <w:top w:val="single" w:sz="6" w:space="0" w:color="auto"/>
              <w:bottom w:val="single" w:sz="6" w:space="0" w:color="auto"/>
              <w:right w:val="single" w:sz="4"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13</w:t>
            </w:r>
          </w:p>
        </w:tc>
        <w:tc>
          <w:tcPr>
            <w:tcW w:w="1919" w:type="dxa"/>
            <w:tcBorders>
              <w:top w:val="single" w:sz="6" w:space="0" w:color="auto"/>
              <w:left w:val="single" w:sz="4" w:space="0" w:color="auto"/>
              <w:bottom w:val="single" w:sz="6"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2 929 632 379,- Kč</w:t>
            </w:r>
          </w:p>
        </w:tc>
        <w:tc>
          <w:tcPr>
            <w:tcW w:w="871" w:type="dxa"/>
            <w:tcBorders>
              <w:top w:val="single" w:sz="6"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c>
          <w:tcPr>
            <w:tcW w:w="1847" w:type="dxa"/>
            <w:tcBorders>
              <w:top w:val="single" w:sz="6"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w:t>
            </w:r>
          </w:p>
        </w:tc>
      </w:tr>
      <w:tr w:rsidR="00236AEC" w:rsidRPr="00236AEC" w:rsidTr="00236AEC">
        <w:trPr>
          <w:trHeight w:val="768"/>
        </w:trPr>
        <w:tc>
          <w:tcPr>
            <w:tcW w:w="1425"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nově zařazené</w:t>
            </w:r>
          </w:p>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 xml:space="preserve"> k 1. 7. 2015</w:t>
            </w:r>
          </w:p>
        </w:tc>
        <w:tc>
          <w:tcPr>
            <w:tcW w:w="818" w:type="dxa"/>
            <w:tcBorders>
              <w:top w:val="single" w:sz="6"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w:t>
            </w:r>
          </w:p>
        </w:tc>
        <w:tc>
          <w:tcPr>
            <w:tcW w:w="1553" w:type="dxa"/>
            <w:tcBorders>
              <w:top w:val="single" w:sz="6" w:space="0" w:color="auto"/>
              <w:bottom w:val="single" w:sz="6"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 Kč</w:t>
            </w:r>
          </w:p>
        </w:tc>
        <w:tc>
          <w:tcPr>
            <w:tcW w:w="855" w:type="dxa"/>
            <w:tcBorders>
              <w:top w:val="single" w:sz="6" w:space="0" w:color="auto"/>
              <w:bottom w:val="single" w:sz="6" w:space="0" w:color="auto"/>
              <w:right w:val="single" w:sz="4"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22</w:t>
            </w:r>
          </w:p>
        </w:tc>
        <w:tc>
          <w:tcPr>
            <w:tcW w:w="1919" w:type="dxa"/>
            <w:tcBorders>
              <w:top w:val="single" w:sz="6" w:space="0" w:color="auto"/>
              <w:left w:val="single" w:sz="4" w:space="0" w:color="auto"/>
              <w:bottom w:val="single" w:sz="6"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908 254 215,- Kč</w:t>
            </w:r>
          </w:p>
        </w:tc>
        <w:tc>
          <w:tcPr>
            <w:tcW w:w="871" w:type="dxa"/>
            <w:tcBorders>
              <w:top w:val="single" w:sz="6" w:space="0" w:color="auto"/>
              <w:bottom w:val="single" w:sz="6"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67</w:t>
            </w:r>
          </w:p>
        </w:tc>
        <w:tc>
          <w:tcPr>
            <w:tcW w:w="1847" w:type="dxa"/>
            <w:tcBorders>
              <w:top w:val="single" w:sz="6" w:space="0" w:color="auto"/>
              <w:bottom w:val="single" w:sz="6" w:space="0" w:color="auto"/>
              <w:right w:val="single" w:sz="4"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931 498 221,58 Kč</w:t>
            </w:r>
          </w:p>
        </w:tc>
      </w:tr>
      <w:tr w:rsidR="00236AEC" w:rsidRPr="00236AEC" w:rsidTr="00236AEC">
        <w:trPr>
          <w:trHeight w:val="701"/>
        </w:trPr>
        <w:tc>
          <w:tcPr>
            <w:tcW w:w="1425" w:type="dxa"/>
            <w:tcBorders>
              <w:top w:val="single" w:sz="6" w:space="0" w:color="auto"/>
              <w:left w:val="single" w:sz="4" w:space="0" w:color="auto"/>
              <w:bottom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Projekty, které zůstaly v dané kategorii</w:t>
            </w:r>
          </w:p>
        </w:tc>
        <w:tc>
          <w:tcPr>
            <w:tcW w:w="818" w:type="dxa"/>
            <w:tcBorders>
              <w:top w:val="single" w:sz="6" w:space="0" w:color="auto"/>
              <w:bottom w:val="single" w:sz="4"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w:t>
            </w:r>
          </w:p>
        </w:tc>
        <w:tc>
          <w:tcPr>
            <w:tcW w:w="1553" w:type="dxa"/>
            <w:tcBorders>
              <w:top w:val="single" w:sz="6" w:space="0" w:color="auto"/>
              <w:bottom w:val="single" w:sz="4" w:space="0" w:color="auto"/>
            </w:tcBorders>
            <w:shd w:val="clear" w:color="auto" w:fill="FF0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0,- Kč</w:t>
            </w:r>
          </w:p>
        </w:tc>
        <w:tc>
          <w:tcPr>
            <w:tcW w:w="855" w:type="dxa"/>
            <w:tcBorders>
              <w:top w:val="single" w:sz="6" w:space="0" w:color="auto"/>
              <w:bottom w:val="single" w:sz="4" w:space="0" w:color="auto"/>
              <w:right w:val="single" w:sz="4"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11</w:t>
            </w:r>
          </w:p>
        </w:tc>
        <w:tc>
          <w:tcPr>
            <w:tcW w:w="1919" w:type="dxa"/>
            <w:tcBorders>
              <w:top w:val="single" w:sz="6" w:space="0" w:color="auto"/>
              <w:left w:val="single" w:sz="4" w:space="0" w:color="auto"/>
              <w:bottom w:val="single" w:sz="4" w:space="0" w:color="auto"/>
            </w:tcBorders>
            <w:shd w:val="clear" w:color="auto" w:fill="FFC0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1 915 631 655,24 Kč</w:t>
            </w:r>
          </w:p>
        </w:tc>
        <w:tc>
          <w:tcPr>
            <w:tcW w:w="871" w:type="dxa"/>
            <w:tcBorders>
              <w:top w:val="single" w:sz="6" w:space="0" w:color="auto"/>
              <w:bottom w:val="single" w:sz="4"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18</w:t>
            </w:r>
          </w:p>
        </w:tc>
        <w:tc>
          <w:tcPr>
            <w:tcW w:w="1847" w:type="dxa"/>
            <w:tcBorders>
              <w:top w:val="single" w:sz="6" w:space="0" w:color="auto"/>
              <w:bottom w:val="single" w:sz="4" w:space="0" w:color="auto"/>
              <w:right w:val="single" w:sz="4" w:space="0" w:color="auto"/>
            </w:tcBorders>
            <w:shd w:val="clear" w:color="auto" w:fill="FFFF00"/>
            <w:vAlign w:val="center"/>
          </w:tcPr>
          <w:p w:rsidR="00236AEC" w:rsidRPr="00236AEC" w:rsidRDefault="00236AEC" w:rsidP="00236AEC">
            <w:pPr>
              <w:jc w:val="center"/>
              <w:rPr>
                <w:rFonts w:asciiTheme="minorHAnsi" w:eastAsiaTheme="minorHAnsi" w:hAnsiTheme="minorHAnsi" w:cstheme="minorBidi"/>
                <w:sz w:val="22"/>
                <w:szCs w:val="22"/>
                <w:lang w:eastAsia="en-US"/>
              </w:rPr>
            </w:pPr>
            <w:r w:rsidRPr="00236AEC">
              <w:rPr>
                <w:rFonts w:asciiTheme="minorHAnsi" w:eastAsiaTheme="minorHAnsi" w:hAnsiTheme="minorHAnsi" w:cstheme="minorBidi"/>
                <w:sz w:val="22"/>
                <w:szCs w:val="22"/>
                <w:lang w:eastAsia="en-US"/>
              </w:rPr>
              <w:t>957 491 559,51 Kč</w:t>
            </w:r>
          </w:p>
        </w:tc>
      </w:tr>
      <w:tr w:rsidR="00236AEC" w:rsidRPr="00236AEC" w:rsidTr="00236AEC">
        <w:trPr>
          <w:trHeight w:val="701"/>
        </w:trPr>
        <w:tc>
          <w:tcPr>
            <w:tcW w:w="1425"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Stav k 1. 7. 2015</w:t>
            </w:r>
          </w:p>
        </w:tc>
        <w:tc>
          <w:tcPr>
            <w:tcW w:w="818" w:type="dxa"/>
            <w:tcBorders>
              <w:top w:val="single" w:sz="6"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0</w:t>
            </w:r>
          </w:p>
        </w:tc>
        <w:tc>
          <w:tcPr>
            <w:tcW w:w="1553" w:type="dxa"/>
            <w:tcBorders>
              <w:top w:val="single" w:sz="6"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0,- Kč</w:t>
            </w:r>
          </w:p>
        </w:tc>
        <w:tc>
          <w:tcPr>
            <w:tcW w:w="855" w:type="dxa"/>
            <w:tcBorders>
              <w:top w:val="single" w:sz="6"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47</w:t>
            </w:r>
          </w:p>
        </w:tc>
        <w:tc>
          <w:tcPr>
            <w:tcW w:w="1919" w:type="dxa"/>
            <w:tcBorders>
              <w:top w:val="single" w:sz="6" w:space="0" w:color="auto"/>
              <w:left w:val="single" w:sz="4"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6 053 009 949,24 Kč</w:t>
            </w:r>
          </w:p>
        </w:tc>
        <w:tc>
          <w:tcPr>
            <w:tcW w:w="871" w:type="dxa"/>
            <w:tcBorders>
              <w:top w:val="single" w:sz="6" w:space="0" w:color="auto"/>
              <w:bottom w:val="single" w:sz="6"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89</w:t>
            </w:r>
          </w:p>
        </w:tc>
        <w:tc>
          <w:tcPr>
            <w:tcW w:w="1847" w:type="dxa"/>
            <w:tcBorders>
              <w:top w:val="single" w:sz="6" w:space="0" w:color="auto"/>
              <w:bottom w:val="single" w:sz="6" w:space="0" w:color="auto"/>
              <w:righ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2 859 833 752,09 Kč</w:t>
            </w:r>
          </w:p>
        </w:tc>
      </w:tr>
    </w:tbl>
    <w:p w:rsidR="00236AEC" w:rsidRDefault="00236AEC" w:rsidP="00236AEC">
      <w:pPr>
        <w:spacing w:line="276" w:lineRule="auto"/>
        <w:rPr>
          <w:rFonts w:eastAsiaTheme="minorHAnsi" w:cs="Arial"/>
          <w:i/>
          <w:iCs/>
          <w:sz w:val="18"/>
          <w:szCs w:val="18"/>
          <w:lang w:eastAsia="en-US"/>
        </w:rPr>
      </w:pPr>
      <w:r w:rsidRPr="00736E6D">
        <w:rPr>
          <w:rFonts w:eastAsiaTheme="minorHAnsi" w:cs="Arial"/>
          <w:i/>
          <w:iCs/>
          <w:sz w:val="18"/>
          <w:szCs w:val="18"/>
          <w:lang w:eastAsia="en-US"/>
        </w:rPr>
        <w:t xml:space="preserve">Zdroj: IS Monit7+IOP a Řídící orgán IOP ve spolupráci se zprostředkujícími subjekty ke dni </w:t>
      </w:r>
      <w:r>
        <w:rPr>
          <w:rFonts w:eastAsiaTheme="minorHAnsi" w:cs="Arial"/>
          <w:i/>
          <w:iCs/>
          <w:sz w:val="18"/>
          <w:szCs w:val="18"/>
          <w:lang w:eastAsia="en-US"/>
        </w:rPr>
        <w:t xml:space="preserve">1. 7. </w:t>
      </w:r>
      <w:r w:rsidRPr="00736E6D">
        <w:rPr>
          <w:rFonts w:eastAsiaTheme="minorHAnsi" w:cs="Arial"/>
          <w:i/>
          <w:iCs/>
          <w:sz w:val="18"/>
          <w:szCs w:val="18"/>
          <w:lang w:eastAsia="en-US"/>
        </w:rPr>
        <w:t>201</w:t>
      </w:r>
      <w:r>
        <w:rPr>
          <w:rFonts w:eastAsiaTheme="minorHAnsi" w:cs="Arial"/>
          <w:i/>
          <w:iCs/>
          <w:sz w:val="18"/>
          <w:szCs w:val="18"/>
          <w:lang w:eastAsia="en-US"/>
        </w:rPr>
        <w:t>5. Jedná se o celkový podíl zdrojů EU a státního rozpočtu.</w:t>
      </w:r>
    </w:p>
    <w:p w:rsidR="00A0150D" w:rsidRDefault="00A0150D" w:rsidP="00770E9F">
      <w:pPr>
        <w:spacing w:line="276" w:lineRule="auto"/>
        <w:jc w:val="both"/>
        <w:rPr>
          <w:rFonts w:cs="Arial"/>
          <w:sz w:val="22"/>
          <w:szCs w:val="22"/>
        </w:rPr>
      </w:pPr>
    </w:p>
    <w:p w:rsidR="00A0150D" w:rsidRDefault="00A0150D" w:rsidP="00770E9F">
      <w:pPr>
        <w:spacing w:line="276" w:lineRule="auto"/>
        <w:jc w:val="both"/>
        <w:rPr>
          <w:rFonts w:cs="Arial"/>
          <w:sz w:val="22"/>
          <w:szCs w:val="22"/>
        </w:rPr>
      </w:pPr>
    </w:p>
    <w:p w:rsidR="00A0150D" w:rsidRDefault="00A0150D"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p>
    <w:p w:rsidR="00236AEC" w:rsidRDefault="00236AEC" w:rsidP="00770E9F">
      <w:pPr>
        <w:spacing w:line="276" w:lineRule="auto"/>
        <w:jc w:val="both"/>
        <w:rPr>
          <w:rFonts w:cs="Arial"/>
          <w:sz w:val="22"/>
          <w:szCs w:val="22"/>
        </w:rPr>
      </w:pPr>
      <w:r>
        <w:rPr>
          <w:rFonts w:cs="Arial"/>
          <w:sz w:val="22"/>
          <w:szCs w:val="22"/>
        </w:rPr>
        <w:t xml:space="preserve">Celkově tak k červenci 2015 došlo ve srovnání s dubnovou aktualizací problémových projektů v IOP ke snížení objemu spících projektů o částku cca. 299 mil. Kč. U vysoce rizikových projektů dochází k navýšení objemu prostředků o </w:t>
      </w:r>
      <w:r w:rsidR="0048131F">
        <w:rPr>
          <w:rFonts w:cs="Arial"/>
          <w:sz w:val="22"/>
          <w:szCs w:val="22"/>
        </w:rPr>
        <w:t>2,</w:t>
      </w:r>
      <w:r>
        <w:rPr>
          <w:rFonts w:cs="Arial"/>
          <w:sz w:val="22"/>
          <w:szCs w:val="22"/>
        </w:rPr>
        <w:t xml:space="preserve">641 mld. Kč. Objem prostředků rizikových projektů pak klesl </w:t>
      </w:r>
      <w:r w:rsidR="0048131F">
        <w:rPr>
          <w:rFonts w:cs="Arial"/>
          <w:sz w:val="22"/>
          <w:szCs w:val="22"/>
        </w:rPr>
        <w:t>cca. o 5, 370</w:t>
      </w:r>
      <w:r>
        <w:rPr>
          <w:rFonts w:cs="Arial"/>
          <w:sz w:val="22"/>
          <w:szCs w:val="22"/>
        </w:rPr>
        <w:t xml:space="preserve"> mld. Kč.</w:t>
      </w:r>
    </w:p>
    <w:p w:rsidR="00A04E90" w:rsidRDefault="00A04E90" w:rsidP="00770E9F">
      <w:pPr>
        <w:spacing w:line="276" w:lineRule="auto"/>
        <w:jc w:val="both"/>
        <w:rPr>
          <w:rFonts w:cs="Arial"/>
          <w:bCs/>
          <w:sz w:val="22"/>
          <w:szCs w:val="22"/>
        </w:rPr>
      </w:pPr>
    </w:p>
    <w:p w:rsidR="00ED286C" w:rsidRDefault="00236AEC" w:rsidP="003225D4">
      <w:pPr>
        <w:spacing w:line="276" w:lineRule="auto"/>
        <w:jc w:val="both"/>
        <w:rPr>
          <w:rFonts w:cs="Arial"/>
          <w:sz w:val="22"/>
          <w:szCs w:val="22"/>
        </w:rPr>
      </w:pPr>
      <w:r>
        <w:rPr>
          <w:rFonts w:cs="Arial"/>
          <w:sz w:val="22"/>
          <w:szCs w:val="22"/>
        </w:rPr>
        <w:t>Tabulka srovnání finančního objemu</w:t>
      </w:r>
      <w:r w:rsidR="0048131F">
        <w:rPr>
          <w:rFonts w:cs="Arial"/>
          <w:sz w:val="22"/>
          <w:szCs w:val="22"/>
        </w:rPr>
        <w:t xml:space="preserve"> problémových projektů</w:t>
      </w:r>
      <w:r>
        <w:rPr>
          <w:rFonts w:cs="Arial"/>
          <w:sz w:val="22"/>
          <w:szCs w:val="22"/>
        </w:rPr>
        <w:t xml:space="preserve"> k 1. 4. 2015</w:t>
      </w:r>
      <w:r w:rsidRPr="00236AEC">
        <w:rPr>
          <w:rFonts w:cs="Arial"/>
          <w:sz w:val="22"/>
          <w:szCs w:val="22"/>
        </w:rPr>
        <w:t xml:space="preserve"> a 1. 7. 2015</w:t>
      </w:r>
    </w:p>
    <w:p w:rsidR="00236AEC" w:rsidRDefault="00236AEC" w:rsidP="003225D4">
      <w:pPr>
        <w:spacing w:line="276" w:lineRule="auto"/>
        <w:jc w:val="both"/>
        <w:rPr>
          <w:rFonts w:cs="Arial"/>
          <w:sz w:val="22"/>
          <w:szCs w:val="22"/>
        </w:rPr>
      </w:pPr>
    </w:p>
    <w:tbl>
      <w:tblPr>
        <w:tblStyle w:val="Mkatabulky"/>
        <w:tblW w:w="9297" w:type="dxa"/>
        <w:tblLook w:val="04A0" w:firstRow="1" w:lastRow="0" w:firstColumn="1" w:lastColumn="0" w:noHBand="0" w:noVBand="1"/>
      </w:tblPr>
      <w:tblGrid>
        <w:gridCol w:w="982"/>
        <w:gridCol w:w="763"/>
        <w:gridCol w:w="1188"/>
        <w:gridCol w:w="763"/>
        <w:gridCol w:w="1188"/>
        <w:gridCol w:w="763"/>
        <w:gridCol w:w="1262"/>
        <w:gridCol w:w="763"/>
        <w:gridCol w:w="1625"/>
      </w:tblGrid>
      <w:tr w:rsidR="0048131F" w:rsidRPr="00236AEC" w:rsidTr="00092C29">
        <w:trPr>
          <w:trHeight w:val="831"/>
        </w:trPr>
        <w:tc>
          <w:tcPr>
            <w:tcW w:w="982" w:type="dxa"/>
            <w:tcBorders>
              <w:top w:val="nil"/>
              <w:left w:val="nil"/>
              <w:bottom w:val="nil"/>
              <w:right w:val="single" w:sz="4" w:space="0" w:color="auto"/>
            </w:tcBorders>
            <w:shd w:val="clear" w:color="auto" w:fill="auto"/>
            <w:vAlign w:val="center"/>
          </w:tcPr>
          <w:p w:rsidR="00236AEC" w:rsidRPr="00236AEC" w:rsidRDefault="00236AEC" w:rsidP="00236AEC">
            <w:pPr>
              <w:jc w:val="center"/>
              <w:rPr>
                <w:rFonts w:asciiTheme="minorHAnsi" w:eastAsiaTheme="minorHAnsi" w:hAnsiTheme="minorHAnsi" w:cstheme="minorBidi"/>
                <w:b/>
                <w:sz w:val="22"/>
                <w:szCs w:val="22"/>
                <w:lang w:eastAsia="en-US"/>
              </w:rPr>
            </w:pPr>
          </w:p>
        </w:tc>
        <w:tc>
          <w:tcPr>
            <w:tcW w:w="1951" w:type="dxa"/>
            <w:gridSpan w:val="2"/>
            <w:tcBorders>
              <w:lef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Spící projekty</w:t>
            </w:r>
          </w:p>
        </w:tc>
        <w:tc>
          <w:tcPr>
            <w:tcW w:w="1951" w:type="dxa"/>
            <w:gridSpan w:val="2"/>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Vysoce rizikové projekty</w:t>
            </w:r>
          </w:p>
        </w:tc>
        <w:tc>
          <w:tcPr>
            <w:tcW w:w="2025" w:type="dxa"/>
            <w:gridSpan w:val="2"/>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Rizikové projekty</w:t>
            </w:r>
          </w:p>
        </w:tc>
        <w:tc>
          <w:tcPr>
            <w:tcW w:w="2388" w:type="dxa"/>
            <w:gridSpan w:val="2"/>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Celkem</w:t>
            </w:r>
          </w:p>
        </w:tc>
      </w:tr>
      <w:tr w:rsidR="0048131F" w:rsidRPr="00236AEC" w:rsidTr="00092C29">
        <w:trPr>
          <w:trHeight w:val="605"/>
        </w:trPr>
        <w:tc>
          <w:tcPr>
            <w:tcW w:w="982" w:type="dxa"/>
            <w:tcBorders>
              <w:top w:val="nil"/>
              <w:left w:val="nil"/>
              <w:bottom w:val="single" w:sz="4" w:space="0" w:color="auto"/>
              <w:right w:val="single" w:sz="4" w:space="0" w:color="auto"/>
            </w:tcBorders>
            <w:shd w:val="clear" w:color="auto" w:fill="auto"/>
            <w:vAlign w:val="center"/>
          </w:tcPr>
          <w:p w:rsidR="00236AEC" w:rsidRPr="00236AEC" w:rsidRDefault="00236AEC" w:rsidP="00236AEC">
            <w:pPr>
              <w:jc w:val="center"/>
              <w:rPr>
                <w:rFonts w:asciiTheme="minorHAnsi" w:eastAsiaTheme="minorHAnsi" w:hAnsiTheme="minorHAnsi" w:cstheme="minorBidi"/>
                <w:b/>
                <w:sz w:val="22"/>
                <w:szCs w:val="22"/>
                <w:lang w:eastAsia="en-US"/>
              </w:rPr>
            </w:pPr>
          </w:p>
        </w:tc>
        <w:tc>
          <w:tcPr>
            <w:tcW w:w="763" w:type="dxa"/>
            <w:tcBorders>
              <w:left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188"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 v Kč</w:t>
            </w:r>
          </w:p>
        </w:tc>
        <w:tc>
          <w:tcPr>
            <w:tcW w:w="763"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188"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 v Kč</w:t>
            </w:r>
          </w:p>
        </w:tc>
        <w:tc>
          <w:tcPr>
            <w:tcW w:w="763"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262"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 v Kč</w:t>
            </w:r>
          </w:p>
        </w:tc>
        <w:tc>
          <w:tcPr>
            <w:tcW w:w="763"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počet</w:t>
            </w:r>
          </w:p>
        </w:tc>
        <w:tc>
          <w:tcPr>
            <w:tcW w:w="1625"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objem</w:t>
            </w:r>
          </w:p>
        </w:tc>
      </w:tr>
      <w:tr w:rsidR="0048131F" w:rsidRPr="00236AEC" w:rsidTr="00092C29">
        <w:trPr>
          <w:trHeight w:val="930"/>
        </w:trPr>
        <w:tc>
          <w:tcPr>
            <w:tcW w:w="982" w:type="dxa"/>
            <w:tcBorders>
              <w:top w:val="single" w:sz="4" w:space="0" w:color="auto"/>
            </w:tcBorders>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Celkem k 1. 7. 2015</w:t>
            </w:r>
          </w:p>
        </w:tc>
        <w:tc>
          <w:tcPr>
            <w:tcW w:w="763" w:type="dxa"/>
            <w:shd w:val="clear" w:color="auto" w:fill="FF0000"/>
            <w:vAlign w:val="center"/>
          </w:tcPr>
          <w:p w:rsidR="00236AEC" w:rsidRPr="0048131F" w:rsidRDefault="00236AEC" w:rsidP="00236AEC">
            <w:pPr>
              <w:jc w:val="center"/>
              <w:rPr>
                <w:rFonts w:asciiTheme="minorHAnsi" w:eastAsiaTheme="minorHAnsi" w:hAnsiTheme="minorHAnsi" w:cstheme="minorBidi"/>
                <w:b/>
                <w:sz w:val="16"/>
                <w:szCs w:val="16"/>
                <w:lang w:eastAsia="en-US"/>
              </w:rPr>
            </w:pPr>
            <w:r w:rsidRPr="0048131F">
              <w:rPr>
                <w:rFonts w:asciiTheme="minorHAnsi" w:eastAsiaTheme="minorHAnsi" w:hAnsiTheme="minorHAnsi" w:cstheme="minorBidi"/>
                <w:b/>
                <w:sz w:val="16"/>
                <w:szCs w:val="16"/>
                <w:lang w:eastAsia="en-US"/>
              </w:rPr>
              <w:t>0</w:t>
            </w:r>
          </w:p>
        </w:tc>
        <w:tc>
          <w:tcPr>
            <w:tcW w:w="1188" w:type="dxa"/>
            <w:shd w:val="clear" w:color="auto" w:fill="FF00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0,- Kč</w:t>
            </w:r>
          </w:p>
        </w:tc>
        <w:tc>
          <w:tcPr>
            <w:tcW w:w="763" w:type="dxa"/>
            <w:shd w:val="clear" w:color="auto" w:fill="FFC0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47</w:t>
            </w:r>
          </w:p>
        </w:tc>
        <w:tc>
          <w:tcPr>
            <w:tcW w:w="1188" w:type="dxa"/>
            <w:shd w:val="clear" w:color="auto" w:fill="FFC000"/>
            <w:vAlign w:val="center"/>
          </w:tcPr>
          <w:p w:rsidR="00236AEC" w:rsidRPr="00092C29" w:rsidRDefault="00236AEC" w:rsidP="0048131F">
            <w:pP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6 053 009 949,24 Kč</w:t>
            </w:r>
          </w:p>
        </w:tc>
        <w:tc>
          <w:tcPr>
            <w:tcW w:w="763" w:type="dxa"/>
            <w:shd w:val="clear" w:color="auto" w:fill="FFFF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89</w:t>
            </w:r>
          </w:p>
        </w:tc>
        <w:tc>
          <w:tcPr>
            <w:tcW w:w="1262" w:type="dxa"/>
            <w:shd w:val="clear" w:color="auto" w:fill="FFFF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2 859 833 752,09 Kč</w:t>
            </w:r>
          </w:p>
        </w:tc>
        <w:tc>
          <w:tcPr>
            <w:tcW w:w="763" w:type="dxa"/>
            <w:shd w:val="clear" w:color="auto" w:fill="D9D9D9" w:themeFill="background1" w:themeFillShade="D9"/>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136</w:t>
            </w:r>
          </w:p>
        </w:tc>
        <w:tc>
          <w:tcPr>
            <w:tcW w:w="1625" w:type="dxa"/>
            <w:shd w:val="clear" w:color="auto" w:fill="D9D9D9" w:themeFill="background1" w:themeFillShade="D9"/>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8 912 843 701,33 Kč</w:t>
            </w:r>
          </w:p>
        </w:tc>
      </w:tr>
      <w:tr w:rsidR="0048131F" w:rsidRPr="00236AEC" w:rsidTr="00092C29">
        <w:trPr>
          <w:trHeight w:val="991"/>
        </w:trPr>
        <w:tc>
          <w:tcPr>
            <w:tcW w:w="982" w:type="dxa"/>
            <w:shd w:val="clear" w:color="auto" w:fill="D9D9D9" w:themeFill="background1" w:themeFillShade="D9"/>
            <w:vAlign w:val="center"/>
          </w:tcPr>
          <w:p w:rsidR="00236AEC" w:rsidRPr="00236AEC" w:rsidRDefault="00236AEC" w:rsidP="00236AEC">
            <w:pPr>
              <w:jc w:val="center"/>
              <w:rPr>
                <w:rFonts w:asciiTheme="minorHAnsi" w:eastAsiaTheme="minorHAnsi" w:hAnsiTheme="minorHAnsi" w:cstheme="minorBidi"/>
                <w:b/>
                <w:sz w:val="22"/>
                <w:szCs w:val="22"/>
                <w:lang w:eastAsia="en-US"/>
              </w:rPr>
            </w:pPr>
            <w:r w:rsidRPr="00236AEC">
              <w:rPr>
                <w:rFonts w:asciiTheme="minorHAnsi" w:eastAsiaTheme="minorHAnsi" w:hAnsiTheme="minorHAnsi" w:cstheme="minorBidi"/>
                <w:b/>
                <w:sz w:val="22"/>
                <w:szCs w:val="22"/>
                <w:lang w:eastAsia="en-US"/>
              </w:rPr>
              <w:t>Celkem k 1. 4. 2015</w:t>
            </w:r>
          </w:p>
        </w:tc>
        <w:tc>
          <w:tcPr>
            <w:tcW w:w="763" w:type="dxa"/>
            <w:shd w:val="clear" w:color="auto" w:fill="FF0000"/>
            <w:vAlign w:val="center"/>
          </w:tcPr>
          <w:p w:rsidR="00236AEC" w:rsidRPr="0048131F" w:rsidRDefault="00236AEC" w:rsidP="00236AEC">
            <w:pPr>
              <w:jc w:val="center"/>
              <w:rPr>
                <w:rFonts w:asciiTheme="minorHAnsi" w:eastAsiaTheme="minorHAnsi" w:hAnsiTheme="minorHAnsi" w:cstheme="minorBidi"/>
                <w:b/>
                <w:sz w:val="16"/>
                <w:szCs w:val="16"/>
                <w:lang w:eastAsia="en-US"/>
              </w:rPr>
            </w:pPr>
            <w:r w:rsidRPr="0048131F">
              <w:rPr>
                <w:rFonts w:asciiTheme="minorHAnsi" w:eastAsiaTheme="minorHAnsi" w:hAnsiTheme="minorHAnsi" w:cstheme="minorBidi"/>
                <w:b/>
                <w:sz w:val="16"/>
                <w:szCs w:val="16"/>
                <w:lang w:eastAsia="en-US"/>
              </w:rPr>
              <w:t>1</w:t>
            </w:r>
          </w:p>
        </w:tc>
        <w:tc>
          <w:tcPr>
            <w:tcW w:w="1188" w:type="dxa"/>
            <w:shd w:val="clear" w:color="auto" w:fill="FF00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color w:val="000000"/>
                <w:sz w:val="16"/>
                <w:szCs w:val="16"/>
                <w:lang w:eastAsia="en-US"/>
              </w:rPr>
              <w:t>299 491 700,- Kč</w:t>
            </w:r>
          </w:p>
        </w:tc>
        <w:tc>
          <w:tcPr>
            <w:tcW w:w="763" w:type="dxa"/>
            <w:shd w:val="clear" w:color="auto" w:fill="FFC000"/>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25</w:t>
            </w:r>
          </w:p>
        </w:tc>
        <w:tc>
          <w:tcPr>
            <w:tcW w:w="1188" w:type="dxa"/>
            <w:shd w:val="clear" w:color="auto" w:fill="FFC000"/>
            <w:vAlign w:val="center"/>
          </w:tcPr>
          <w:p w:rsidR="00236AEC" w:rsidRPr="00092C29" w:rsidRDefault="00236AEC" w:rsidP="00236AEC">
            <w:pPr>
              <w:jc w:val="center"/>
              <w:rPr>
                <w:rFonts w:ascii="Calibri" w:eastAsiaTheme="minorHAnsi" w:hAnsi="Calibri" w:cstheme="minorBidi"/>
                <w:color w:val="000000"/>
                <w:sz w:val="16"/>
                <w:szCs w:val="16"/>
                <w:lang w:eastAsia="en-US"/>
              </w:rPr>
            </w:pPr>
            <w:r w:rsidRPr="00092C29">
              <w:rPr>
                <w:rFonts w:asciiTheme="minorHAnsi" w:eastAsiaTheme="minorHAnsi" w:hAnsiTheme="minorHAnsi" w:cstheme="minorBidi"/>
                <w:b/>
                <w:sz w:val="16"/>
                <w:szCs w:val="16"/>
                <w:lang w:eastAsia="en-US"/>
              </w:rPr>
              <w:t>3 411 404 640,- Kč</w:t>
            </w:r>
          </w:p>
        </w:tc>
        <w:tc>
          <w:tcPr>
            <w:tcW w:w="763" w:type="dxa"/>
            <w:shd w:val="clear" w:color="auto" w:fill="FFFF00"/>
            <w:vAlign w:val="center"/>
          </w:tcPr>
          <w:p w:rsidR="00236AEC" w:rsidRPr="0048131F" w:rsidRDefault="00236AEC" w:rsidP="00236AEC">
            <w:pPr>
              <w:jc w:val="center"/>
              <w:rPr>
                <w:rFonts w:asciiTheme="minorHAnsi" w:eastAsiaTheme="minorHAnsi" w:hAnsiTheme="minorHAnsi" w:cstheme="minorBidi"/>
                <w:b/>
                <w:sz w:val="16"/>
                <w:szCs w:val="16"/>
                <w:lang w:eastAsia="en-US"/>
              </w:rPr>
            </w:pPr>
            <w:r w:rsidRPr="0048131F">
              <w:rPr>
                <w:rFonts w:asciiTheme="minorHAnsi" w:eastAsiaTheme="minorHAnsi" w:hAnsiTheme="minorHAnsi" w:cstheme="minorBidi"/>
                <w:b/>
                <w:sz w:val="16"/>
                <w:szCs w:val="16"/>
                <w:lang w:eastAsia="en-US"/>
              </w:rPr>
              <w:t>129</w:t>
            </w:r>
          </w:p>
        </w:tc>
        <w:tc>
          <w:tcPr>
            <w:tcW w:w="1262" w:type="dxa"/>
            <w:shd w:val="clear" w:color="auto" w:fill="FFFF00"/>
            <w:vAlign w:val="center"/>
          </w:tcPr>
          <w:p w:rsidR="00236AEC" w:rsidRPr="00092C29" w:rsidRDefault="00236AEC" w:rsidP="00236AEC">
            <w:pPr>
              <w:jc w:val="center"/>
              <w:rPr>
                <w:rFonts w:ascii="Calibri" w:eastAsiaTheme="minorHAnsi" w:hAnsi="Calibri" w:cstheme="minorBidi"/>
                <w:b/>
                <w:color w:val="000000"/>
                <w:sz w:val="16"/>
                <w:szCs w:val="16"/>
                <w:lang w:eastAsia="en-US"/>
              </w:rPr>
            </w:pPr>
            <w:r w:rsidRPr="00092C29">
              <w:rPr>
                <w:rFonts w:asciiTheme="minorHAnsi" w:eastAsiaTheme="minorHAnsi" w:hAnsiTheme="minorHAnsi" w:cstheme="minorBidi"/>
                <w:b/>
                <w:sz w:val="16"/>
                <w:szCs w:val="16"/>
                <w:lang w:eastAsia="en-US"/>
              </w:rPr>
              <w:t>8 230 744 955</w:t>
            </w:r>
            <w:r w:rsidRPr="00092C29">
              <w:rPr>
                <w:rFonts w:ascii="Calibri" w:eastAsiaTheme="minorHAnsi" w:hAnsi="Calibri" w:cstheme="minorBidi"/>
                <w:b/>
                <w:color w:val="000000"/>
                <w:sz w:val="16"/>
                <w:szCs w:val="16"/>
                <w:lang w:eastAsia="en-US"/>
              </w:rPr>
              <w:t>,- Kč</w:t>
            </w:r>
          </w:p>
        </w:tc>
        <w:tc>
          <w:tcPr>
            <w:tcW w:w="763" w:type="dxa"/>
            <w:shd w:val="clear" w:color="auto" w:fill="D9D9D9" w:themeFill="background1" w:themeFillShade="D9"/>
            <w:vAlign w:val="center"/>
          </w:tcPr>
          <w:p w:rsidR="00236AEC" w:rsidRPr="0048131F" w:rsidRDefault="00236AEC" w:rsidP="00236AEC">
            <w:pPr>
              <w:jc w:val="center"/>
              <w:rPr>
                <w:rFonts w:asciiTheme="minorHAnsi" w:eastAsiaTheme="minorHAnsi" w:hAnsiTheme="minorHAnsi" w:cstheme="minorBidi"/>
                <w:b/>
                <w:sz w:val="16"/>
                <w:szCs w:val="16"/>
                <w:lang w:eastAsia="en-US"/>
              </w:rPr>
            </w:pPr>
            <w:r w:rsidRPr="0048131F">
              <w:rPr>
                <w:rFonts w:asciiTheme="minorHAnsi" w:eastAsiaTheme="minorHAnsi" w:hAnsiTheme="minorHAnsi" w:cstheme="minorBidi"/>
                <w:b/>
                <w:sz w:val="16"/>
                <w:szCs w:val="16"/>
                <w:lang w:eastAsia="en-US"/>
              </w:rPr>
              <w:t>155</w:t>
            </w:r>
          </w:p>
        </w:tc>
        <w:tc>
          <w:tcPr>
            <w:tcW w:w="1625" w:type="dxa"/>
            <w:shd w:val="clear" w:color="auto" w:fill="D9D9D9" w:themeFill="background1" w:themeFillShade="D9"/>
            <w:vAlign w:val="center"/>
          </w:tcPr>
          <w:p w:rsidR="00236AEC" w:rsidRPr="00092C29" w:rsidRDefault="00236AEC" w:rsidP="00236AEC">
            <w:pPr>
              <w:jc w:val="center"/>
              <w:rPr>
                <w:rFonts w:asciiTheme="minorHAnsi" w:eastAsiaTheme="minorHAnsi" w:hAnsiTheme="minorHAnsi" w:cstheme="minorBidi"/>
                <w:b/>
                <w:sz w:val="16"/>
                <w:szCs w:val="16"/>
                <w:lang w:eastAsia="en-US"/>
              </w:rPr>
            </w:pPr>
            <w:r w:rsidRPr="00092C29">
              <w:rPr>
                <w:rFonts w:asciiTheme="minorHAnsi" w:eastAsiaTheme="minorHAnsi" w:hAnsiTheme="minorHAnsi" w:cstheme="minorBidi"/>
                <w:b/>
                <w:sz w:val="16"/>
                <w:szCs w:val="16"/>
                <w:lang w:eastAsia="en-US"/>
              </w:rPr>
              <w:t>11 941 641 295,- Kč</w:t>
            </w:r>
          </w:p>
        </w:tc>
      </w:tr>
    </w:tbl>
    <w:p w:rsidR="0048131F" w:rsidRDefault="0048131F" w:rsidP="0048131F">
      <w:pPr>
        <w:spacing w:line="276" w:lineRule="auto"/>
        <w:rPr>
          <w:rFonts w:eastAsiaTheme="minorHAnsi" w:cs="Arial"/>
          <w:i/>
          <w:iCs/>
          <w:sz w:val="18"/>
          <w:szCs w:val="18"/>
          <w:lang w:eastAsia="en-US"/>
        </w:rPr>
      </w:pPr>
      <w:r w:rsidRPr="00736E6D">
        <w:rPr>
          <w:rFonts w:eastAsiaTheme="minorHAnsi" w:cs="Arial"/>
          <w:i/>
          <w:iCs/>
          <w:sz w:val="18"/>
          <w:szCs w:val="18"/>
          <w:lang w:eastAsia="en-US"/>
        </w:rPr>
        <w:t xml:space="preserve">Zdroj: IS Monit7+IOP a Řídící orgán IOP ve spolupráci se zprostředkujícími subjekty ke dni </w:t>
      </w:r>
      <w:r>
        <w:rPr>
          <w:rFonts w:eastAsiaTheme="minorHAnsi" w:cs="Arial"/>
          <w:i/>
          <w:iCs/>
          <w:sz w:val="18"/>
          <w:szCs w:val="18"/>
          <w:lang w:eastAsia="en-US"/>
        </w:rPr>
        <w:t xml:space="preserve">1. 7. </w:t>
      </w:r>
      <w:r w:rsidRPr="00736E6D">
        <w:rPr>
          <w:rFonts w:eastAsiaTheme="minorHAnsi" w:cs="Arial"/>
          <w:i/>
          <w:iCs/>
          <w:sz w:val="18"/>
          <w:szCs w:val="18"/>
          <w:lang w:eastAsia="en-US"/>
        </w:rPr>
        <w:t>201</w:t>
      </w:r>
      <w:r>
        <w:rPr>
          <w:rFonts w:eastAsiaTheme="minorHAnsi" w:cs="Arial"/>
          <w:i/>
          <w:iCs/>
          <w:sz w:val="18"/>
          <w:szCs w:val="18"/>
          <w:lang w:eastAsia="en-US"/>
        </w:rPr>
        <w:t>5. Jedná se o celkový podíl zdrojů EU a státního rozpočtu.</w:t>
      </w:r>
    </w:p>
    <w:p w:rsidR="00236AEC" w:rsidRDefault="00236AEC" w:rsidP="003225D4">
      <w:pPr>
        <w:spacing w:line="276" w:lineRule="auto"/>
        <w:jc w:val="both"/>
        <w:rPr>
          <w:rFonts w:cs="Arial"/>
          <w:sz w:val="22"/>
          <w:szCs w:val="22"/>
        </w:rPr>
      </w:pPr>
    </w:p>
    <w:p w:rsidR="00236AEC" w:rsidRDefault="0048131F" w:rsidP="003225D4">
      <w:pPr>
        <w:spacing w:line="276" w:lineRule="auto"/>
        <w:jc w:val="both"/>
        <w:rPr>
          <w:rFonts w:cs="Arial"/>
          <w:sz w:val="22"/>
          <w:szCs w:val="22"/>
        </w:rPr>
      </w:pPr>
      <w:r>
        <w:rPr>
          <w:rFonts w:cs="Arial"/>
          <w:sz w:val="22"/>
          <w:szCs w:val="22"/>
        </w:rPr>
        <w:t xml:space="preserve">Ve srovnání s dubnovou aktualizací došlo k červenci 2015 k úplnému vyřazení 9 vysoce rizikových projektů v hodnotě cca. 323 mil. Kč a dále bylo vyřazených 98 rizikových projektů v hodnotě 4, 128 mld. Kč. </w:t>
      </w:r>
    </w:p>
    <w:p w:rsidR="0048131F" w:rsidRDefault="0048131F" w:rsidP="003225D4">
      <w:pPr>
        <w:spacing w:line="276" w:lineRule="auto"/>
        <w:jc w:val="both"/>
        <w:rPr>
          <w:rFonts w:cs="Arial"/>
          <w:sz w:val="22"/>
          <w:szCs w:val="22"/>
        </w:rPr>
      </w:pPr>
    </w:p>
    <w:p w:rsidR="0048131F" w:rsidRDefault="0048131F" w:rsidP="003225D4">
      <w:pPr>
        <w:spacing w:line="276" w:lineRule="auto"/>
        <w:jc w:val="both"/>
        <w:rPr>
          <w:rFonts w:cs="Arial"/>
          <w:sz w:val="22"/>
          <w:szCs w:val="22"/>
        </w:rPr>
      </w:pPr>
      <w:r w:rsidRPr="0048131F">
        <w:rPr>
          <w:rFonts w:cs="Arial"/>
          <w:sz w:val="22"/>
          <w:szCs w:val="22"/>
        </w:rPr>
        <w:t>Projekty vyřazené oproti aktualizaci k 1. 4. 2015 z kategorie spících a rizikových projektů</w:t>
      </w:r>
    </w:p>
    <w:tbl>
      <w:tblPr>
        <w:tblStyle w:val="Mkatabulky"/>
        <w:tblpPr w:leftFromText="141" w:rightFromText="141" w:vertAnchor="text" w:horzAnchor="margin" w:tblpY="198"/>
        <w:tblW w:w="10056" w:type="dxa"/>
        <w:tblLook w:val="04A0" w:firstRow="1" w:lastRow="0" w:firstColumn="1" w:lastColumn="0" w:noHBand="0" w:noVBand="1"/>
      </w:tblPr>
      <w:tblGrid>
        <w:gridCol w:w="1180"/>
        <w:gridCol w:w="732"/>
        <w:gridCol w:w="829"/>
        <w:gridCol w:w="732"/>
        <w:gridCol w:w="1599"/>
        <w:gridCol w:w="732"/>
        <w:gridCol w:w="1760"/>
        <w:gridCol w:w="732"/>
        <w:gridCol w:w="1760"/>
      </w:tblGrid>
      <w:tr w:rsidR="0048131F" w:rsidRPr="0048131F" w:rsidTr="00092C29">
        <w:trPr>
          <w:trHeight w:val="636"/>
        </w:trPr>
        <w:tc>
          <w:tcPr>
            <w:tcW w:w="1180" w:type="dxa"/>
            <w:vMerge w:val="restart"/>
            <w:tcBorders>
              <w:top w:val="single" w:sz="4" w:space="0" w:color="auto"/>
            </w:tcBorders>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Stav k 1. 7. 2015</w:t>
            </w:r>
          </w:p>
        </w:tc>
        <w:tc>
          <w:tcPr>
            <w:tcW w:w="1561" w:type="dxa"/>
            <w:gridSpan w:val="2"/>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Vyřazené</w:t>
            </w:r>
            <w:r w:rsidRPr="0048131F">
              <w:rPr>
                <w:rFonts w:asciiTheme="minorHAnsi" w:eastAsiaTheme="minorHAnsi" w:hAnsiTheme="minorHAnsi" w:cstheme="minorBidi"/>
                <w:b/>
                <w:sz w:val="22"/>
                <w:szCs w:val="22"/>
                <w:lang w:eastAsia="en-US"/>
              </w:rPr>
              <w:t xml:space="preserve"> z kategorie spící projekty</w:t>
            </w:r>
          </w:p>
        </w:tc>
        <w:tc>
          <w:tcPr>
            <w:tcW w:w="2331" w:type="dxa"/>
            <w:gridSpan w:val="2"/>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Vyřazené</w:t>
            </w:r>
            <w:r w:rsidRPr="0048131F">
              <w:rPr>
                <w:rFonts w:asciiTheme="minorHAnsi" w:eastAsiaTheme="minorHAnsi" w:hAnsiTheme="minorHAnsi" w:cstheme="minorBidi"/>
                <w:b/>
                <w:sz w:val="22"/>
                <w:szCs w:val="22"/>
                <w:lang w:eastAsia="en-US"/>
              </w:rPr>
              <w:t xml:space="preserve"> z kategorie</w:t>
            </w:r>
          </w:p>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vysoce rizikové projekty</w:t>
            </w:r>
          </w:p>
        </w:tc>
        <w:tc>
          <w:tcPr>
            <w:tcW w:w="2492" w:type="dxa"/>
            <w:gridSpan w:val="2"/>
            <w:shd w:val="clear" w:color="auto" w:fill="D9D9D9" w:themeFill="background1" w:themeFillShade="D9"/>
            <w:vAlign w:val="center"/>
          </w:tcPr>
          <w:p w:rsidR="0048131F" w:rsidRPr="0048131F" w:rsidRDefault="0048131F" w:rsidP="0048131F">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Vyřazené z</w:t>
            </w:r>
            <w:r w:rsidRPr="0048131F">
              <w:rPr>
                <w:rFonts w:asciiTheme="minorHAnsi" w:eastAsiaTheme="minorHAnsi" w:hAnsiTheme="minorHAnsi" w:cstheme="minorBidi"/>
                <w:b/>
                <w:sz w:val="22"/>
                <w:szCs w:val="22"/>
                <w:lang w:eastAsia="en-US"/>
              </w:rPr>
              <w:t xml:space="preserve"> kategorie</w:t>
            </w:r>
          </w:p>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rizikové projekty</w:t>
            </w:r>
          </w:p>
        </w:tc>
        <w:tc>
          <w:tcPr>
            <w:tcW w:w="2492" w:type="dxa"/>
            <w:gridSpan w:val="2"/>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Celkem projekty</w:t>
            </w:r>
          </w:p>
        </w:tc>
      </w:tr>
      <w:tr w:rsidR="0048131F" w:rsidRPr="0048131F" w:rsidTr="00092C29">
        <w:trPr>
          <w:trHeight w:val="147"/>
        </w:trPr>
        <w:tc>
          <w:tcPr>
            <w:tcW w:w="1180" w:type="dxa"/>
            <w:vMerge/>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p>
        </w:tc>
        <w:tc>
          <w:tcPr>
            <w:tcW w:w="732"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počet</w:t>
            </w:r>
          </w:p>
        </w:tc>
        <w:tc>
          <w:tcPr>
            <w:tcW w:w="829"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Objem v Kč</w:t>
            </w:r>
          </w:p>
        </w:tc>
        <w:tc>
          <w:tcPr>
            <w:tcW w:w="732"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počet</w:t>
            </w:r>
          </w:p>
        </w:tc>
        <w:tc>
          <w:tcPr>
            <w:tcW w:w="1599"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Objem v Kč</w:t>
            </w:r>
          </w:p>
        </w:tc>
        <w:tc>
          <w:tcPr>
            <w:tcW w:w="732"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počet</w:t>
            </w:r>
          </w:p>
        </w:tc>
        <w:tc>
          <w:tcPr>
            <w:tcW w:w="1760"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Objem v Kč</w:t>
            </w:r>
          </w:p>
        </w:tc>
        <w:tc>
          <w:tcPr>
            <w:tcW w:w="732"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počet</w:t>
            </w:r>
          </w:p>
        </w:tc>
        <w:tc>
          <w:tcPr>
            <w:tcW w:w="1760" w:type="dxa"/>
            <w:shd w:val="clear" w:color="auto" w:fill="D9D9D9" w:themeFill="background1" w:themeFillShade="D9"/>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Objem v Kč</w:t>
            </w:r>
          </w:p>
        </w:tc>
      </w:tr>
      <w:tr w:rsidR="0048131F" w:rsidRPr="0048131F" w:rsidTr="00092C29">
        <w:trPr>
          <w:trHeight w:val="1099"/>
        </w:trPr>
        <w:tc>
          <w:tcPr>
            <w:tcW w:w="1180" w:type="dxa"/>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Projekty, které se již nenachází v kategorii rizikovosti</w:t>
            </w:r>
          </w:p>
        </w:tc>
        <w:tc>
          <w:tcPr>
            <w:tcW w:w="732" w:type="dxa"/>
            <w:shd w:val="clear" w:color="auto" w:fill="auto"/>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0</w:t>
            </w:r>
          </w:p>
        </w:tc>
        <w:tc>
          <w:tcPr>
            <w:tcW w:w="829" w:type="dxa"/>
            <w:shd w:val="clear" w:color="auto" w:fill="auto"/>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0,- Kč</w:t>
            </w:r>
          </w:p>
        </w:tc>
        <w:tc>
          <w:tcPr>
            <w:tcW w:w="732"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9</w:t>
            </w:r>
          </w:p>
        </w:tc>
        <w:tc>
          <w:tcPr>
            <w:tcW w:w="1599"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323 365 362,70 Kč</w:t>
            </w:r>
          </w:p>
        </w:tc>
        <w:tc>
          <w:tcPr>
            <w:tcW w:w="732"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98</w:t>
            </w:r>
          </w:p>
        </w:tc>
        <w:tc>
          <w:tcPr>
            <w:tcW w:w="1760"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4 281 458 654,77 Kč</w:t>
            </w:r>
          </w:p>
        </w:tc>
        <w:tc>
          <w:tcPr>
            <w:tcW w:w="732"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107</w:t>
            </w:r>
          </w:p>
        </w:tc>
        <w:tc>
          <w:tcPr>
            <w:tcW w:w="1760" w:type="dxa"/>
            <w:shd w:val="clear" w:color="auto" w:fill="92D050"/>
            <w:vAlign w:val="center"/>
          </w:tcPr>
          <w:p w:rsidR="0048131F" w:rsidRPr="0048131F" w:rsidRDefault="0048131F" w:rsidP="0048131F">
            <w:pPr>
              <w:jc w:val="center"/>
              <w:rPr>
                <w:rFonts w:asciiTheme="minorHAnsi" w:eastAsiaTheme="minorHAnsi" w:hAnsiTheme="minorHAnsi" w:cstheme="minorBidi"/>
                <w:b/>
                <w:sz w:val="22"/>
                <w:szCs w:val="22"/>
                <w:lang w:eastAsia="en-US"/>
              </w:rPr>
            </w:pPr>
            <w:r w:rsidRPr="0048131F">
              <w:rPr>
                <w:rFonts w:asciiTheme="minorHAnsi" w:eastAsiaTheme="minorHAnsi" w:hAnsiTheme="minorHAnsi" w:cstheme="minorBidi"/>
                <w:b/>
                <w:sz w:val="22"/>
                <w:szCs w:val="22"/>
                <w:lang w:eastAsia="en-US"/>
              </w:rPr>
              <w:t>4 604 824 017,47</w:t>
            </w:r>
          </w:p>
        </w:tc>
      </w:tr>
    </w:tbl>
    <w:p w:rsidR="0048131F" w:rsidRDefault="0048131F" w:rsidP="0048131F">
      <w:pPr>
        <w:spacing w:line="276" w:lineRule="auto"/>
        <w:rPr>
          <w:rFonts w:eastAsiaTheme="minorHAnsi" w:cs="Arial"/>
          <w:i/>
          <w:iCs/>
          <w:sz w:val="18"/>
          <w:szCs w:val="18"/>
          <w:lang w:eastAsia="en-US"/>
        </w:rPr>
      </w:pPr>
      <w:r w:rsidRPr="00736E6D">
        <w:rPr>
          <w:rFonts w:eastAsiaTheme="minorHAnsi" w:cs="Arial"/>
          <w:i/>
          <w:iCs/>
          <w:sz w:val="18"/>
          <w:szCs w:val="18"/>
          <w:lang w:eastAsia="en-US"/>
        </w:rPr>
        <w:t xml:space="preserve">Zdroj: IS Monit7+IOP a Řídící orgán IOP ve spolupráci se zprostředkujícími subjekty ke dni </w:t>
      </w:r>
      <w:r>
        <w:rPr>
          <w:rFonts w:eastAsiaTheme="minorHAnsi" w:cs="Arial"/>
          <w:i/>
          <w:iCs/>
          <w:sz w:val="18"/>
          <w:szCs w:val="18"/>
          <w:lang w:eastAsia="en-US"/>
        </w:rPr>
        <w:t xml:space="preserve">1. 7. </w:t>
      </w:r>
      <w:r w:rsidRPr="00736E6D">
        <w:rPr>
          <w:rFonts w:eastAsiaTheme="minorHAnsi" w:cs="Arial"/>
          <w:i/>
          <w:iCs/>
          <w:sz w:val="18"/>
          <w:szCs w:val="18"/>
          <w:lang w:eastAsia="en-US"/>
        </w:rPr>
        <w:t>201</w:t>
      </w:r>
      <w:r>
        <w:rPr>
          <w:rFonts w:eastAsiaTheme="minorHAnsi" w:cs="Arial"/>
          <w:i/>
          <w:iCs/>
          <w:sz w:val="18"/>
          <w:szCs w:val="18"/>
          <w:lang w:eastAsia="en-US"/>
        </w:rPr>
        <w:t>5. Jedná se o celkový podíl zdrojů EU a státního rozpočtu.</w:t>
      </w:r>
    </w:p>
    <w:p w:rsidR="0048131F" w:rsidRDefault="0048131F" w:rsidP="003225D4">
      <w:pPr>
        <w:spacing w:line="276" w:lineRule="auto"/>
        <w:jc w:val="both"/>
        <w:rPr>
          <w:rFonts w:cs="Arial"/>
          <w:sz w:val="22"/>
          <w:szCs w:val="22"/>
        </w:rPr>
      </w:pPr>
    </w:p>
    <w:p w:rsidR="0048131F" w:rsidRDefault="0048131F" w:rsidP="003225D4">
      <w:pPr>
        <w:spacing w:line="276" w:lineRule="auto"/>
        <w:jc w:val="both"/>
        <w:rPr>
          <w:rFonts w:cs="Arial"/>
          <w:sz w:val="22"/>
          <w:szCs w:val="22"/>
        </w:rPr>
      </w:pPr>
    </w:p>
    <w:p w:rsidR="00236AEC" w:rsidRDefault="00236AEC" w:rsidP="003225D4">
      <w:pPr>
        <w:spacing w:line="276" w:lineRule="auto"/>
        <w:jc w:val="both"/>
        <w:rPr>
          <w:rFonts w:cs="Arial"/>
          <w:sz w:val="22"/>
          <w:szCs w:val="22"/>
        </w:rPr>
      </w:pPr>
    </w:p>
    <w:p w:rsidR="00236AEC" w:rsidRDefault="00236AEC" w:rsidP="003225D4">
      <w:pPr>
        <w:spacing w:line="276" w:lineRule="auto"/>
        <w:jc w:val="both"/>
        <w:rPr>
          <w:rFonts w:cs="Arial"/>
          <w:sz w:val="22"/>
          <w:szCs w:val="22"/>
        </w:rPr>
      </w:pPr>
    </w:p>
    <w:p w:rsidR="000F4C4A" w:rsidRPr="00111D78" w:rsidRDefault="000F4C4A" w:rsidP="00404FB0">
      <w:pPr>
        <w:pStyle w:val="Nadpis2"/>
        <w:numPr>
          <w:ilvl w:val="0"/>
          <w:numId w:val="3"/>
        </w:numPr>
      </w:pPr>
      <w:r w:rsidRPr="00111D78">
        <w:lastRenderedPageBreak/>
        <w:t xml:space="preserve">Nejčastější problémy rizikových projektů </w:t>
      </w:r>
    </w:p>
    <w:p w:rsidR="00104CE1" w:rsidRDefault="00104CE1" w:rsidP="00404FB0">
      <w:pPr>
        <w:pStyle w:val="Nadpis3"/>
        <w:numPr>
          <w:ilvl w:val="0"/>
          <w:numId w:val="4"/>
        </w:numPr>
        <w:rPr>
          <w:rFonts w:eastAsiaTheme="minorHAnsi"/>
          <w:lang w:eastAsia="en-US"/>
        </w:rPr>
      </w:pPr>
      <w:r>
        <w:rPr>
          <w:rFonts w:eastAsiaTheme="minorHAnsi"/>
          <w:lang w:eastAsia="en-US"/>
        </w:rPr>
        <w:t>Chyby</w:t>
      </w:r>
      <w:r w:rsidR="00F14DAF">
        <w:rPr>
          <w:rFonts w:eastAsiaTheme="minorHAnsi"/>
          <w:lang w:eastAsia="en-US"/>
        </w:rPr>
        <w:t xml:space="preserve"> na straně </w:t>
      </w:r>
      <w:r>
        <w:rPr>
          <w:rFonts w:eastAsiaTheme="minorHAnsi"/>
          <w:lang w:eastAsia="en-US"/>
        </w:rPr>
        <w:t>příjemce</w:t>
      </w:r>
    </w:p>
    <w:p w:rsidR="005244D5" w:rsidRPr="00A836B6" w:rsidRDefault="000F4C4A" w:rsidP="005244D5">
      <w:pPr>
        <w:spacing w:line="276" w:lineRule="auto"/>
        <w:jc w:val="both"/>
        <w:rPr>
          <w:rFonts w:eastAsiaTheme="minorHAnsi" w:cs="Arial"/>
          <w:sz w:val="22"/>
          <w:szCs w:val="22"/>
          <w:lang w:eastAsia="en-US"/>
        </w:rPr>
      </w:pPr>
      <w:r w:rsidRPr="00A836B6">
        <w:rPr>
          <w:rFonts w:eastAsiaTheme="minorHAnsi" w:cs="Arial"/>
          <w:sz w:val="22"/>
          <w:szCs w:val="22"/>
          <w:lang w:eastAsia="en-US"/>
        </w:rPr>
        <w:t xml:space="preserve">Velmi častou příčinou komplikací při realizaci projektů a jejich zařazení do některé z rizikových kategorií je mimo jiné výrazné zpoždění realizace projektu, zapříčiněné </w:t>
      </w:r>
      <w:r w:rsidR="005B441D">
        <w:rPr>
          <w:rFonts w:eastAsiaTheme="minorHAnsi" w:cs="Arial"/>
          <w:sz w:val="22"/>
          <w:szCs w:val="22"/>
          <w:lang w:eastAsia="en-US"/>
        </w:rPr>
        <w:t xml:space="preserve">zejména </w:t>
      </w:r>
      <w:r w:rsidRPr="00A836B6">
        <w:rPr>
          <w:rFonts w:eastAsiaTheme="minorHAnsi" w:cs="Arial"/>
          <w:sz w:val="22"/>
          <w:szCs w:val="22"/>
          <w:lang w:eastAsia="en-US"/>
        </w:rPr>
        <w:t xml:space="preserve">zdržením v procesu realizace veřejných zakázek. </w:t>
      </w:r>
    </w:p>
    <w:p w:rsidR="005244D5" w:rsidRDefault="005244D5" w:rsidP="00404FB0">
      <w:pPr>
        <w:pStyle w:val="Nadpis3"/>
        <w:numPr>
          <w:ilvl w:val="1"/>
          <w:numId w:val="4"/>
        </w:numPr>
        <w:rPr>
          <w:rStyle w:val="Zvraznn"/>
        </w:rPr>
      </w:pPr>
      <w:r>
        <w:rPr>
          <w:rStyle w:val="Zvraznn"/>
        </w:rPr>
        <w:t xml:space="preserve">Administrativní kapacita </w:t>
      </w:r>
      <w:r w:rsidR="006A62AB">
        <w:rPr>
          <w:rStyle w:val="Zvraznn"/>
        </w:rPr>
        <w:t xml:space="preserve">u </w:t>
      </w:r>
      <w:r>
        <w:rPr>
          <w:rStyle w:val="Zvraznn"/>
        </w:rPr>
        <w:t>příjemců</w:t>
      </w:r>
    </w:p>
    <w:p w:rsidR="005244D5" w:rsidRDefault="00C1137F" w:rsidP="005244D5">
      <w:pPr>
        <w:spacing w:line="276" w:lineRule="auto"/>
        <w:jc w:val="both"/>
        <w:rPr>
          <w:rFonts w:eastAsiaTheme="minorHAnsi"/>
          <w:sz w:val="22"/>
          <w:szCs w:val="22"/>
        </w:rPr>
      </w:pPr>
      <w:r>
        <w:rPr>
          <w:rFonts w:eastAsiaTheme="minorHAnsi"/>
          <w:sz w:val="22"/>
          <w:szCs w:val="22"/>
        </w:rPr>
        <w:t>Z</w:t>
      </w:r>
      <w:r w:rsidR="005244D5">
        <w:rPr>
          <w:rFonts w:eastAsiaTheme="minorHAnsi"/>
          <w:sz w:val="22"/>
          <w:szCs w:val="22"/>
        </w:rPr>
        <w:t xml:space="preserve">vláště </w:t>
      </w:r>
      <w:r>
        <w:rPr>
          <w:rFonts w:eastAsiaTheme="minorHAnsi"/>
          <w:sz w:val="22"/>
          <w:szCs w:val="22"/>
        </w:rPr>
        <w:t>v</w:t>
      </w:r>
      <w:r w:rsidR="00C412EC">
        <w:rPr>
          <w:rFonts w:eastAsiaTheme="minorHAnsi"/>
          <w:sz w:val="22"/>
          <w:szCs w:val="22"/>
        </w:rPr>
        <w:t> </w:t>
      </w:r>
      <w:r w:rsidR="005244D5">
        <w:rPr>
          <w:rFonts w:eastAsiaTheme="minorHAnsi"/>
          <w:sz w:val="22"/>
          <w:szCs w:val="22"/>
        </w:rPr>
        <w:t>projekt</w:t>
      </w:r>
      <w:r>
        <w:rPr>
          <w:rFonts w:eastAsiaTheme="minorHAnsi"/>
          <w:sz w:val="22"/>
          <w:szCs w:val="22"/>
        </w:rPr>
        <w:t>ech</w:t>
      </w:r>
      <w:r w:rsidR="00C412EC">
        <w:rPr>
          <w:rFonts w:eastAsiaTheme="minorHAnsi"/>
          <w:sz w:val="22"/>
          <w:szCs w:val="22"/>
        </w:rPr>
        <w:t>,</w:t>
      </w:r>
      <w:r w:rsidR="005244D5">
        <w:rPr>
          <w:rFonts w:eastAsiaTheme="minorHAnsi"/>
          <w:sz w:val="22"/>
          <w:szCs w:val="22"/>
        </w:rPr>
        <w:t xml:space="preserve"> realizovaných příjemci z řad OSS</w:t>
      </w:r>
      <w:r w:rsidR="00290885">
        <w:rPr>
          <w:rFonts w:eastAsiaTheme="minorHAnsi"/>
          <w:sz w:val="22"/>
          <w:szCs w:val="22"/>
        </w:rPr>
        <w:t>,</w:t>
      </w:r>
      <w:r w:rsidR="005244D5">
        <w:rPr>
          <w:rFonts w:eastAsiaTheme="minorHAnsi"/>
          <w:sz w:val="22"/>
          <w:szCs w:val="22"/>
        </w:rPr>
        <w:t xml:space="preserve"> je jedním z největších rizikových faktorů fluk</w:t>
      </w:r>
      <w:r w:rsidR="00F3421B">
        <w:rPr>
          <w:rFonts w:eastAsiaTheme="minorHAnsi"/>
          <w:sz w:val="22"/>
          <w:szCs w:val="22"/>
        </w:rPr>
        <w:t>t</w:t>
      </w:r>
      <w:r w:rsidR="005244D5">
        <w:rPr>
          <w:rFonts w:eastAsiaTheme="minorHAnsi"/>
          <w:sz w:val="22"/>
          <w:szCs w:val="22"/>
        </w:rPr>
        <w:t>uace pracovníků realizačního týmu</w:t>
      </w:r>
      <w:r>
        <w:rPr>
          <w:rFonts w:eastAsiaTheme="minorHAnsi"/>
          <w:sz w:val="22"/>
          <w:szCs w:val="22"/>
        </w:rPr>
        <w:t xml:space="preserve">. </w:t>
      </w:r>
      <w:r w:rsidR="00E00F86">
        <w:rPr>
          <w:rFonts w:eastAsiaTheme="minorHAnsi"/>
          <w:sz w:val="22"/>
          <w:szCs w:val="22"/>
        </w:rPr>
        <w:t xml:space="preserve">Způsobuje </w:t>
      </w:r>
      <w:r w:rsidR="00290885">
        <w:rPr>
          <w:rFonts w:eastAsiaTheme="minorHAnsi"/>
          <w:sz w:val="22"/>
          <w:szCs w:val="22"/>
        </w:rPr>
        <w:t>zpožďování</w:t>
      </w:r>
      <w:r w:rsidR="00C412EC">
        <w:rPr>
          <w:rFonts w:eastAsiaTheme="minorHAnsi"/>
          <w:sz w:val="22"/>
          <w:szCs w:val="22"/>
        </w:rPr>
        <w:t xml:space="preserve"> v </w:t>
      </w:r>
      <w:r w:rsidR="00402CEA">
        <w:rPr>
          <w:rFonts w:eastAsiaTheme="minorHAnsi"/>
          <w:sz w:val="22"/>
          <w:szCs w:val="22"/>
        </w:rPr>
        <w:t>realizaci projektů</w:t>
      </w:r>
      <w:r w:rsidR="00290885">
        <w:rPr>
          <w:rFonts w:eastAsiaTheme="minorHAnsi"/>
          <w:sz w:val="22"/>
          <w:szCs w:val="22"/>
        </w:rPr>
        <w:t>, čast</w:t>
      </w:r>
      <w:r w:rsidR="00C412EC">
        <w:rPr>
          <w:rFonts w:eastAsiaTheme="minorHAnsi"/>
          <w:sz w:val="22"/>
          <w:szCs w:val="22"/>
        </w:rPr>
        <w:t>é</w:t>
      </w:r>
      <w:r w:rsidR="00290885">
        <w:rPr>
          <w:rFonts w:eastAsiaTheme="minorHAnsi"/>
          <w:sz w:val="22"/>
          <w:szCs w:val="22"/>
        </w:rPr>
        <w:t xml:space="preserve"> změn</w:t>
      </w:r>
      <w:r w:rsidR="00C412EC">
        <w:rPr>
          <w:rFonts w:eastAsiaTheme="minorHAnsi"/>
          <w:sz w:val="22"/>
          <w:szCs w:val="22"/>
        </w:rPr>
        <w:t>y</w:t>
      </w:r>
      <w:r w:rsidR="00290885">
        <w:rPr>
          <w:rFonts w:eastAsiaTheme="minorHAnsi"/>
          <w:sz w:val="22"/>
          <w:szCs w:val="22"/>
        </w:rPr>
        <w:t xml:space="preserve"> v projektech, nedostatečné zajištění kontinuity </w:t>
      </w:r>
      <w:r w:rsidR="00C412EC">
        <w:rPr>
          <w:rFonts w:eastAsiaTheme="minorHAnsi"/>
          <w:sz w:val="22"/>
          <w:szCs w:val="22"/>
        </w:rPr>
        <w:t xml:space="preserve">v </w:t>
      </w:r>
      <w:r w:rsidR="00290885">
        <w:rPr>
          <w:rFonts w:eastAsiaTheme="minorHAnsi"/>
          <w:sz w:val="22"/>
          <w:szCs w:val="22"/>
        </w:rPr>
        <w:t xml:space="preserve">řízení projektů. </w:t>
      </w:r>
    </w:p>
    <w:p w:rsidR="00A97BD8" w:rsidRDefault="00A97BD8" w:rsidP="00404FB0">
      <w:pPr>
        <w:pStyle w:val="Nadpis3"/>
        <w:ind w:firstLine="709"/>
        <w:rPr>
          <w:rStyle w:val="Zvraznn"/>
        </w:rPr>
      </w:pPr>
      <w:r w:rsidRPr="00A97BD8">
        <w:rPr>
          <w:rStyle w:val="Zvraznn"/>
        </w:rPr>
        <w:t>Opatření</w:t>
      </w:r>
    </w:p>
    <w:p w:rsidR="005A0CE8" w:rsidRPr="005A0CE8" w:rsidRDefault="005A0CE8" w:rsidP="005A0CE8">
      <w:pPr>
        <w:spacing w:line="276" w:lineRule="auto"/>
        <w:jc w:val="both"/>
        <w:rPr>
          <w:rFonts w:eastAsiaTheme="minorHAnsi"/>
          <w:sz w:val="22"/>
          <w:szCs w:val="22"/>
        </w:rPr>
      </w:pPr>
      <w:r w:rsidRPr="005A0CE8">
        <w:rPr>
          <w:rFonts w:eastAsiaTheme="minorHAnsi"/>
          <w:sz w:val="22"/>
          <w:szCs w:val="22"/>
        </w:rPr>
        <w:t>Je nezbytné, aby</w:t>
      </w:r>
      <w:r w:rsidR="002F2B23">
        <w:rPr>
          <w:rFonts w:eastAsiaTheme="minorHAnsi"/>
          <w:sz w:val="22"/>
          <w:szCs w:val="22"/>
        </w:rPr>
        <w:t xml:space="preserve"> statutární zástupci a vrcholný management </w:t>
      </w:r>
      <w:r w:rsidRPr="005A0CE8">
        <w:rPr>
          <w:rFonts w:eastAsiaTheme="minorHAnsi"/>
          <w:sz w:val="22"/>
          <w:szCs w:val="22"/>
        </w:rPr>
        <w:t>příjemc</w:t>
      </w:r>
      <w:r w:rsidR="002F2B23">
        <w:rPr>
          <w:rFonts w:eastAsiaTheme="minorHAnsi"/>
          <w:sz w:val="22"/>
          <w:szCs w:val="22"/>
        </w:rPr>
        <w:t>ů</w:t>
      </w:r>
      <w:r w:rsidRPr="005A0CE8">
        <w:rPr>
          <w:rFonts w:eastAsiaTheme="minorHAnsi"/>
          <w:sz w:val="22"/>
          <w:szCs w:val="22"/>
        </w:rPr>
        <w:t xml:space="preserve"> projektů </w:t>
      </w:r>
      <w:r w:rsidR="00C1137F">
        <w:rPr>
          <w:rFonts w:eastAsiaTheme="minorHAnsi"/>
          <w:sz w:val="22"/>
          <w:szCs w:val="22"/>
        </w:rPr>
        <w:t>zajistili</w:t>
      </w:r>
      <w:r w:rsidRPr="005A0CE8">
        <w:rPr>
          <w:rFonts w:eastAsiaTheme="minorHAnsi"/>
          <w:sz w:val="22"/>
          <w:szCs w:val="22"/>
        </w:rPr>
        <w:t xml:space="preserve"> realizační tým</w:t>
      </w:r>
      <w:r w:rsidR="00041F7B">
        <w:rPr>
          <w:rFonts w:eastAsiaTheme="minorHAnsi"/>
          <w:sz w:val="22"/>
          <w:szCs w:val="22"/>
        </w:rPr>
        <w:t xml:space="preserve">, který bude mít </w:t>
      </w:r>
      <w:r w:rsidRPr="005A0CE8">
        <w:rPr>
          <w:rFonts w:eastAsiaTheme="minorHAnsi"/>
          <w:sz w:val="22"/>
          <w:szCs w:val="22"/>
        </w:rPr>
        <w:t>odpovídající poče</w:t>
      </w:r>
      <w:r w:rsidR="00041F7B">
        <w:rPr>
          <w:rFonts w:eastAsiaTheme="minorHAnsi"/>
          <w:sz w:val="22"/>
          <w:szCs w:val="22"/>
        </w:rPr>
        <w:t>t</w:t>
      </w:r>
      <w:r w:rsidRPr="005A0CE8">
        <w:rPr>
          <w:rFonts w:eastAsiaTheme="minorHAnsi"/>
          <w:sz w:val="22"/>
          <w:szCs w:val="22"/>
        </w:rPr>
        <w:t xml:space="preserve"> </w:t>
      </w:r>
      <w:r w:rsidR="002F2B23">
        <w:rPr>
          <w:rFonts w:eastAsiaTheme="minorHAnsi"/>
          <w:sz w:val="22"/>
          <w:szCs w:val="22"/>
        </w:rPr>
        <w:t>odborníků s</w:t>
      </w:r>
      <w:r w:rsidR="00402CEA">
        <w:rPr>
          <w:rFonts w:eastAsiaTheme="minorHAnsi"/>
          <w:sz w:val="22"/>
          <w:szCs w:val="22"/>
        </w:rPr>
        <w:t> </w:t>
      </w:r>
      <w:r w:rsidRPr="005A0CE8">
        <w:rPr>
          <w:rFonts w:eastAsiaTheme="minorHAnsi"/>
          <w:sz w:val="22"/>
          <w:szCs w:val="22"/>
        </w:rPr>
        <w:t xml:space="preserve">kvalifikací </w:t>
      </w:r>
      <w:r w:rsidR="002F2B23">
        <w:rPr>
          <w:rFonts w:eastAsiaTheme="minorHAnsi"/>
          <w:sz w:val="22"/>
          <w:szCs w:val="22"/>
        </w:rPr>
        <w:t>související s</w:t>
      </w:r>
      <w:r w:rsidR="00C710A4">
        <w:rPr>
          <w:rFonts w:eastAsiaTheme="minorHAnsi"/>
          <w:sz w:val="22"/>
          <w:szCs w:val="22"/>
        </w:rPr>
        <w:t> </w:t>
      </w:r>
      <w:r w:rsidR="002F2B23">
        <w:rPr>
          <w:rFonts w:eastAsiaTheme="minorHAnsi"/>
          <w:sz w:val="22"/>
          <w:szCs w:val="22"/>
        </w:rPr>
        <w:t xml:space="preserve"> </w:t>
      </w:r>
      <w:r w:rsidRPr="005A0CE8">
        <w:rPr>
          <w:rFonts w:eastAsiaTheme="minorHAnsi"/>
          <w:sz w:val="22"/>
          <w:szCs w:val="22"/>
        </w:rPr>
        <w:t>náročnost</w:t>
      </w:r>
      <w:r w:rsidR="00041F7B">
        <w:rPr>
          <w:rFonts w:eastAsiaTheme="minorHAnsi"/>
          <w:sz w:val="22"/>
          <w:szCs w:val="22"/>
        </w:rPr>
        <w:t>í</w:t>
      </w:r>
      <w:r w:rsidRPr="005A0CE8">
        <w:rPr>
          <w:rFonts w:eastAsiaTheme="minorHAnsi"/>
          <w:sz w:val="22"/>
          <w:szCs w:val="22"/>
        </w:rPr>
        <w:t xml:space="preserve"> a charakter</w:t>
      </w:r>
      <w:r w:rsidR="002F2B23">
        <w:rPr>
          <w:rFonts w:eastAsiaTheme="minorHAnsi"/>
          <w:sz w:val="22"/>
          <w:szCs w:val="22"/>
        </w:rPr>
        <w:t>em</w:t>
      </w:r>
      <w:r w:rsidRPr="005A0CE8">
        <w:rPr>
          <w:rFonts w:eastAsiaTheme="minorHAnsi"/>
          <w:sz w:val="22"/>
          <w:szCs w:val="22"/>
        </w:rPr>
        <w:t xml:space="preserve"> projektu. </w:t>
      </w:r>
      <w:r w:rsidR="00041F7B">
        <w:rPr>
          <w:rFonts w:eastAsiaTheme="minorHAnsi"/>
          <w:sz w:val="22"/>
          <w:szCs w:val="22"/>
        </w:rPr>
        <w:t xml:space="preserve">Je </w:t>
      </w:r>
      <w:r>
        <w:rPr>
          <w:rFonts w:eastAsiaTheme="minorHAnsi"/>
          <w:sz w:val="22"/>
          <w:szCs w:val="22"/>
        </w:rPr>
        <w:t>nezbytné zamezit fluktuaci pracovníků v souvislo</w:t>
      </w:r>
      <w:r w:rsidR="006A62AB">
        <w:rPr>
          <w:rFonts w:eastAsiaTheme="minorHAnsi"/>
          <w:sz w:val="22"/>
          <w:szCs w:val="22"/>
        </w:rPr>
        <w:t>sti se změnami ve vedení resortů</w:t>
      </w:r>
      <w:r>
        <w:rPr>
          <w:rFonts w:eastAsiaTheme="minorHAnsi"/>
          <w:sz w:val="22"/>
          <w:szCs w:val="22"/>
        </w:rPr>
        <w:t>.</w:t>
      </w:r>
      <w:r w:rsidRPr="005A0CE8">
        <w:rPr>
          <w:rFonts w:eastAsiaTheme="minorHAnsi"/>
          <w:sz w:val="22"/>
          <w:szCs w:val="22"/>
        </w:rPr>
        <w:t xml:space="preserve"> </w:t>
      </w:r>
    </w:p>
    <w:p w:rsidR="00A97BD8" w:rsidRPr="00A97BD8" w:rsidRDefault="00A97BD8" w:rsidP="00A97BD8">
      <w:pPr>
        <w:rPr>
          <w:rFonts w:eastAsiaTheme="minorHAnsi"/>
        </w:rPr>
      </w:pPr>
    </w:p>
    <w:p w:rsidR="00290885" w:rsidRDefault="00290885" w:rsidP="00404FB0">
      <w:pPr>
        <w:pStyle w:val="Nadpis3"/>
        <w:numPr>
          <w:ilvl w:val="1"/>
          <w:numId w:val="4"/>
        </w:numPr>
        <w:rPr>
          <w:rStyle w:val="Zvraznn"/>
        </w:rPr>
      </w:pPr>
      <w:r w:rsidRPr="00290885">
        <w:rPr>
          <w:rStyle w:val="Zvraznn"/>
        </w:rPr>
        <w:t>Vnitřní organizace procesů u příjemce</w:t>
      </w:r>
    </w:p>
    <w:p w:rsidR="00290885" w:rsidRPr="00290885" w:rsidRDefault="00290885" w:rsidP="00290885">
      <w:pPr>
        <w:spacing w:line="276" w:lineRule="auto"/>
        <w:jc w:val="both"/>
        <w:rPr>
          <w:rFonts w:eastAsiaTheme="minorHAnsi"/>
          <w:sz w:val="22"/>
          <w:szCs w:val="22"/>
        </w:rPr>
      </w:pPr>
      <w:r>
        <w:rPr>
          <w:rFonts w:eastAsiaTheme="minorHAnsi"/>
          <w:sz w:val="22"/>
          <w:szCs w:val="22"/>
        </w:rPr>
        <w:t xml:space="preserve">Velmi častým negativním aspektem je nastavení vnitřních procesů </w:t>
      </w:r>
      <w:r w:rsidR="00A836B6">
        <w:rPr>
          <w:rFonts w:eastAsiaTheme="minorHAnsi"/>
          <w:sz w:val="22"/>
          <w:szCs w:val="22"/>
        </w:rPr>
        <w:t xml:space="preserve">v organizacích </w:t>
      </w:r>
      <w:r>
        <w:rPr>
          <w:rFonts w:eastAsiaTheme="minorHAnsi"/>
          <w:sz w:val="22"/>
          <w:szCs w:val="22"/>
        </w:rPr>
        <w:t xml:space="preserve">příjemců. </w:t>
      </w:r>
      <w:r w:rsidR="0020453B">
        <w:rPr>
          <w:rFonts w:eastAsiaTheme="minorHAnsi"/>
          <w:sz w:val="22"/>
          <w:szCs w:val="22"/>
        </w:rPr>
        <w:t>V</w:t>
      </w:r>
      <w:r w:rsidR="00A836B6">
        <w:rPr>
          <w:rFonts w:eastAsiaTheme="minorHAnsi"/>
          <w:sz w:val="22"/>
          <w:szCs w:val="22"/>
        </w:rPr>
        <w:t>nitřní postupy některých</w:t>
      </w:r>
      <w:r w:rsidR="0020453B">
        <w:rPr>
          <w:rFonts w:eastAsiaTheme="minorHAnsi"/>
          <w:sz w:val="22"/>
          <w:szCs w:val="22"/>
        </w:rPr>
        <w:t xml:space="preserve"> </w:t>
      </w:r>
      <w:r w:rsidR="00B03106">
        <w:rPr>
          <w:rFonts w:eastAsiaTheme="minorHAnsi"/>
          <w:sz w:val="22"/>
          <w:szCs w:val="22"/>
        </w:rPr>
        <w:t>organizací</w:t>
      </w:r>
      <w:r w:rsidR="0020453B">
        <w:rPr>
          <w:rFonts w:eastAsiaTheme="minorHAnsi"/>
          <w:sz w:val="22"/>
          <w:szCs w:val="22"/>
        </w:rPr>
        <w:t xml:space="preserve"> (OSS</w:t>
      </w:r>
      <w:r w:rsidR="00881466">
        <w:rPr>
          <w:rFonts w:eastAsiaTheme="minorHAnsi"/>
          <w:sz w:val="22"/>
          <w:szCs w:val="22"/>
        </w:rPr>
        <w:t>, projekty NPÚ</w:t>
      </w:r>
      <w:r w:rsidR="0020453B">
        <w:rPr>
          <w:rFonts w:eastAsiaTheme="minorHAnsi"/>
          <w:sz w:val="22"/>
          <w:szCs w:val="22"/>
        </w:rPr>
        <w:t>, složky integrovaného záchranného systému)</w:t>
      </w:r>
      <w:r w:rsidR="00A836B6">
        <w:rPr>
          <w:rFonts w:eastAsiaTheme="minorHAnsi"/>
          <w:sz w:val="22"/>
          <w:szCs w:val="22"/>
        </w:rPr>
        <w:t xml:space="preserve"> jsou pro realizaci projektů financovaných z EU fondů </w:t>
      </w:r>
      <w:r w:rsidR="006A62AB">
        <w:rPr>
          <w:rFonts w:eastAsiaTheme="minorHAnsi"/>
          <w:sz w:val="22"/>
          <w:szCs w:val="22"/>
        </w:rPr>
        <w:t xml:space="preserve">vícestupňové, </w:t>
      </w:r>
      <w:r w:rsidR="00A836B6">
        <w:rPr>
          <w:rFonts w:eastAsiaTheme="minorHAnsi"/>
          <w:sz w:val="22"/>
          <w:szCs w:val="22"/>
        </w:rPr>
        <w:t xml:space="preserve">velmi zdlouhavé a komplikované. Jakékoliv změny v projektu, </w:t>
      </w:r>
      <w:r w:rsidR="006A62AB">
        <w:rPr>
          <w:rFonts w:eastAsiaTheme="minorHAnsi"/>
          <w:sz w:val="22"/>
          <w:szCs w:val="22"/>
        </w:rPr>
        <w:t xml:space="preserve">schválení zadávací dokumentace a </w:t>
      </w:r>
      <w:r w:rsidR="00A836B6">
        <w:rPr>
          <w:rFonts w:eastAsiaTheme="minorHAnsi"/>
          <w:sz w:val="22"/>
          <w:szCs w:val="22"/>
        </w:rPr>
        <w:t xml:space="preserve">realizace veřejné zakázky nebo jiné úkony vyžadující spolupráci více odborných útvarů příjemce jsou zásadním způsobem zpožďovány. </w:t>
      </w:r>
      <w:r w:rsidR="002F2B23">
        <w:rPr>
          <w:rFonts w:eastAsiaTheme="minorHAnsi"/>
          <w:sz w:val="22"/>
          <w:szCs w:val="22"/>
        </w:rPr>
        <w:t xml:space="preserve">Na tyto bariéry </w:t>
      </w:r>
      <w:r w:rsidR="00041F7B">
        <w:rPr>
          <w:rFonts w:eastAsiaTheme="minorHAnsi"/>
          <w:sz w:val="22"/>
          <w:szCs w:val="22"/>
        </w:rPr>
        <w:t>ŘO IOP a</w:t>
      </w:r>
      <w:r w:rsidR="00C710A4">
        <w:rPr>
          <w:rFonts w:eastAsiaTheme="minorHAnsi"/>
          <w:sz w:val="22"/>
          <w:szCs w:val="22"/>
        </w:rPr>
        <w:t> </w:t>
      </w:r>
      <w:r w:rsidR="00041F7B">
        <w:rPr>
          <w:rFonts w:eastAsiaTheme="minorHAnsi"/>
          <w:sz w:val="22"/>
          <w:szCs w:val="22"/>
        </w:rPr>
        <w:t xml:space="preserve"> </w:t>
      </w:r>
      <w:r w:rsidR="002F2B23">
        <w:rPr>
          <w:rFonts w:eastAsiaTheme="minorHAnsi"/>
          <w:sz w:val="22"/>
          <w:szCs w:val="22"/>
        </w:rPr>
        <w:t>zprostředkující subjekty</w:t>
      </w:r>
      <w:r w:rsidR="0020453B">
        <w:rPr>
          <w:rFonts w:eastAsiaTheme="minorHAnsi"/>
          <w:sz w:val="22"/>
          <w:szCs w:val="22"/>
        </w:rPr>
        <w:t xml:space="preserve"> dlouhodobě</w:t>
      </w:r>
      <w:r w:rsidR="002F2B23">
        <w:rPr>
          <w:rFonts w:eastAsiaTheme="minorHAnsi"/>
          <w:sz w:val="22"/>
          <w:szCs w:val="22"/>
        </w:rPr>
        <w:t xml:space="preserve"> příjemce upozorňují, bohužel </w:t>
      </w:r>
      <w:r w:rsidR="002301FC">
        <w:rPr>
          <w:rFonts w:eastAsiaTheme="minorHAnsi"/>
          <w:sz w:val="22"/>
          <w:szCs w:val="22"/>
        </w:rPr>
        <w:t xml:space="preserve">bez většího efektu. </w:t>
      </w:r>
    </w:p>
    <w:p w:rsidR="00A97BD8" w:rsidRDefault="00A97BD8" w:rsidP="00404FB0">
      <w:pPr>
        <w:pStyle w:val="Nadpis3"/>
        <w:ind w:firstLine="709"/>
        <w:rPr>
          <w:rStyle w:val="Zvraznn"/>
        </w:rPr>
      </w:pPr>
      <w:r w:rsidRPr="00A97BD8">
        <w:rPr>
          <w:rStyle w:val="Zvraznn"/>
        </w:rPr>
        <w:t>Opatření</w:t>
      </w:r>
    </w:p>
    <w:p w:rsidR="009C5EFD" w:rsidRPr="009C5EFD" w:rsidRDefault="002301FC" w:rsidP="009C5EFD">
      <w:pPr>
        <w:spacing w:line="276" w:lineRule="auto"/>
        <w:jc w:val="both"/>
        <w:rPr>
          <w:rFonts w:eastAsiaTheme="minorHAnsi"/>
          <w:sz w:val="22"/>
          <w:szCs w:val="22"/>
        </w:rPr>
      </w:pPr>
      <w:r>
        <w:rPr>
          <w:rFonts w:eastAsiaTheme="minorHAnsi"/>
          <w:sz w:val="22"/>
          <w:szCs w:val="22"/>
        </w:rPr>
        <w:t>Zjednodušení a zrychlení</w:t>
      </w:r>
      <w:r w:rsidRPr="009C5EFD">
        <w:rPr>
          <w:rFonts w:eastAsiaTheme="minorHAnsi"/>
          <w:sz w:val="22"/>
          <w:szCs w:val="22"/>
        </w:rPr>
        <w:t xml:space="preserve"> </w:t>
      </w:r>
      <w:r w:rsidR="006A62AB">
        <w:rPr>
          <w:rFonts w:eastAsiaTheme="minorHAnsi"/>
          <w:sz w:val="22"/>
          <w:szCs w:val="22"/>
        </w:rPr>
        <w:t xml:space="preserve">vnitřních </w:t>
      </w:r>
      <w:r w:rsidR="00402CEA">
        <w:rPr>
          <w:rFonts w:eastAsiaTheme="minorHAnsi"/>
          <w:sz w:val="22"/>
          <w:szCs w:val="22"/>
        </w:rPr>
        <w:t xml:space="preserve">procesů v organizaci příjemce tak, </w:t>
      </w:r>
      <w:r w:rsidR="009C5EFD" w:rsidRPr="009C5EFD">
        <w:rPr>
          <w:rFonts w:eastAsiaTheme="minorHAnsi"/>
          <w:sz w:val="22"/>
          <w:szCs w:val="22"/>
        </w:rPr>
        <w:t xml:space="preserve">aby nedocházelo k prodlužování termínů </w:t>
      </w:r>
      <w:r w:rsidR="00041F7B">
        <w:rPr>
          <w:rFonts w:eastAsiaTheme="minorHAnsi"/>
          <w:sz w:val="22"/>
          <w:szCs w:val="22"/>
        </w:rPr>
        <w:t>realizace</w:t>
      </w:r>
      <w:r w:rsidR="009C5EFD" w:rsidRPr="009C5EFD">
        <w:rPr>
          <w:rFonts w:eastAsiaTheme="minorHAnsi"/>
          <w:sz w:val="22"/>
          <w:szCs w:val="22"/>
        </w:rPr>
        <w:t xml:space="preserve"> projektu. Pokud harmonogram projektu neodpovídá vnitřním postupům příjemce, měl by </w:t>
      </w:r>
      <w:r w:rsidR="00881466">
        <w:rPr>
          <w:rFonts w:eastAsiaTheme="minorHAnsi"/>
          <w:sz w:val="22"/>
          <w:szCs w:val="22"/>
        </w:rPr>
        <w:t xml:space="preserve">odstranit příčiny zpoždění, </w:t>
      </w:r>
      <w:r w:rsidR="009C5EFD" w:rsidRPr="009C5EFD">
        <w:rPr>
          <w:rFonts w:eastAsiaTheme="minorHAnsi"/>
          <w:sz w:val="22"/>
          <w:szCs w:val="22"/>
        </w:rPr>
        <w:t xml:space="preserve">požádat o úpravu </w:t>
      </w:r>
      <w:r w:rsidR="00881466">
        <w:rPr>
          <w:rFonts w:eastAsiaTheme="minorHAnsi"/>
          <w:sz w:val="22"/>
          <w:szCs w:val="22"/>
        </w:rPr>
        <w:t xml:space="preserve">harmonogramu </w:t>
      </w:r>
      <w:r w:rsidR="009C5EFD" w:rsidRPr="009C5EFD">
        <w:rPr>
          <w:rFonts w:eastAsiaTheme="minorHAnsi"/>
          <w:sz w:val="22"/>
          <w:szCs w:val="22"/>
        </w:rPr>
        <w:t xml:space="preserve">a </w:t>
      </w:r>
      <w:r>
        <w:rPr>
          <w:rFonts w:eastAsiaTheme="minorHAnsi"/>
          <w:sz w:val="22"/>
          <w:szCs w:val="22"/>
        </w:rPr>
        <w:t>re</w:t>
      </w:r>
      <w:r w:rsidR="00041F7B">
        <w:rPr>
          <w:rFonts w:eastAsiaTheme="minorHAnsi"/>
          <w:sz w:val="22"/>
          <w:szCs w:val="22"/>
        </w:rPr>
        <w:t>á</w:t>
      </w:r>
      <w:r>
        <w:rPr>
          <w:rFonts w:eastAsiaTheme="minorHAnsi"/>
          <w:sz w:val="22"/>
          <w:szCs w:val="22"/>
        </w:rPr>
        <w:t>l</w:t>
      </w:r>
      <w:r w:rsidR="00041F7B">
        <w:rPr>
          <w:rFonts w:eastAsiaTheme="minorHAnsi"/>
          <w:sz w:val="22"/>
          <w:szCs w:val="22"/>
        </w:rPr>
        <w:t>n</w:t>
      </w:r>
      <w:r>
        <w:rPr>
          <w:rFonts w:eastAsiaTheme="minorHAnsi"/>
          <w:sz w:val="22"/>
          <w:szCs w:val="22"/>
        </w:rPr>
        <w:t xml:space="preserve">ým </w:t>
      </w:r>
      <w:r w:rsidR="009C5EFD" w:rsidRPr="009C5EFD">
        <w:rPr>
          <w:rFonts w:eastAsiaTheme="minorHAnsi"/>
          <w:sz w:val="22"/>
          <w:szCs w:val="22"/>
        </w:rPr>
        <w:t xml:space="preserve">harmonogramem </w:t>
      </w:r>
      <w:r w:rsidR="00F337C1">
        <w:rPr>
          <w:rFonts w:eastAsiaTheme="minorHAnsi"/>
          <w:sz w:val="22"/>
          <w:szCs w:val="22"/>
        </w:rPr>
        <w:t xml:space="preserve">se </w:t>
      </w:r>
      <w:r w:rsidR="009C5EFD" w:rsidRPr="009C5EFD">
        <w:rPr>
          <w:rFonts w:eastAsiaTheme="minorHAnsi"/>
          <w:sz w:val="22"/>
          <w:szCs w:val="22"/>
        </w:rPr>
        <w:t>striktně řídit</w:t>
      </w:r>
      <w:r>
        <w:rPr>
          <w:rFonts w:eastAsiaTheme="minorHAnsi"/>
          <w:sz w:val="22"/>
          <w:szCs w:val="22"/>
        </w:rPr>
        <w:t xml:space="preserve"> a podřídit mu podružné procesy</w:t>
      </w:r>
      <w:r w:rsidR="009C5EFD" w:rsidRPr="009C5EFD">
        <w:rPr>
          <w:rFonts w:eastAsiaTheme="minorHAnsi"/>
          <w:sz w:val="22"/>
          <w:szCs w:val="22"/>
        </w:rPr>
        <w:t>.</w:t>
      </w:r>
    </w:p>
    <w:p w:rsidR="00104CE1" w:rsidRDefault="00104CE1" w:rsidP="00404FB0">
      <w:pPr>
        <w:pStyle w:val="Nadpis3"/>
        <w:numPr>
          <w:ilvl w:val="0"/>
          <w:numId w:val="4"/>
        </w:numPr>
        <w:rPr>
          <w:rFonts w:eastAsiaTheme="minorHAnsi"/>
          <w:lang w:eastAsia="en-US"/>
        </w:rPr>
      </w:pPr>
      <w:r>
        <w:rPr>
          <w:rFonts w:eastAsiaTheme="minorHAnsi"/>
          <w:lang w:eastAsia="en-US"/>
        </w:rPr>
        <w:t>Veřejné zakázky</w:t>
      </w:r>
    </w:p>
    <w:p w:rsidR="009C5EFD" w:rsidRDefault="00A836B6" w:rsidP="000F4C4A">
      <w:pPr>
        <w:spacing w:line="276" w:lineRule="auto"/>
        <w:jc w:val="both"/>
        <w:rPr>
          <w:rFonts w:eastAsiaTheme="minorHAnsi" w:cs="Arial"/>
          <w:sz w:val="22"/>
          <w:szCs w:val="22"/>
          <w:lang w:eastAsia="en-US"/>
        </w:rPr>
      </w:pPr>
      <w:r w:rsidRPr="001B0B4D">
        <w:rPr>
          <w:rFonts w:eastAsiaTheme="minorHAnsi" w:cs="Arial"/>
          <w:sz w:val="22"/>
          <w:szCs w:val="22"/>
          <w:lang w:eastAsia="en-US"/>
        </w:rPr>
        <w:t>Veřejné zakázky</w:t>
      </w:r>
      <w:r w:rsidR="00402CEA">
        <w:rPr>
          <w:rFonts w:eastAsiaTheme="minorHAnsi" w:cs="Arial"/>
          <w:sz w:val="22"/>
          <w:szCs w:val="22"/>
          <w:lang w:eastAsia="en-US"/>
        </w:rPr>
        <w:t>,</w:t>
      </w:r>
      <w:r w:rsidRPr="001B0B4D">
        <w:rPr>
          <w:rFonts w:eastAsiaTheme="minorHAnsi" w:cs="Arial"/>
          <w:sz w:val="22"/>
          <w:szCs w:val="22"/>
          <w:lang w:eastAsia="en-US"/>
        </w:rPr>
        <w:t xml:space="preserve"> realizované podle zákona č. 137/2006 o veřejných zakázkách </w:t>
      </w:r>
      <w:r w:rsidR="00041F7B">
        <w:rPr>
          <w:rFonts w:eastAsiaTheme="minorHAnsi" w:cs="Arial"/>
          <w:sz w:val="22"/>
          <w:szCs w:val="22"/>
          <w:lang w:eastAsia="en-US"/>
        </w:rPr>
        <w:t xml:space="preserve">a </w:t>
      </w:r>
      <w:r w:rsidRPr="001B0B4D">
        <w:rPr>
          <w:rFonts w:eastAsiaTheme="minorHAnsi" w:cs="Arial"/>
          <w:sz w:val="22"/>
          <w:szCs w:val="22"/>
          <w:lang w:eastAsia="en-US"/>
        </w:rPr>
        <w:t xml:space="preserve">podle metodiky </w:t>
      </w:r>
      <w:r w:rsidR="00881466">
        <w:rPr>
          <w:rFonts w:eastAsiaTheme="minorHAnsi" w:cs="Arial"/>
          <w:sz w:val="22"/>
          <w:szCs w:val="22"/>
          <w:lang w:eastAsia="en-US"/>
        </w:rPr>
        <w:t>pro zakázky malého rozsahu</w:t>
      </w:r>
      <w:r w:rsidR="00402CEA">
        <w:rPr>
          <w:rFonts w:eastAsiaTheme="minorHAnsi" w:cs="Arial"/>
          <w:sz w:val="22"/>
          <w:szCs w:val="22"/>
          <w:lang w:eastAsia="en-US"/>
        </w:rPr>
        <w:t>,</w:t>
      </w:r>
      <w:r w:rsidRPr="001B0B4D">
        <w:rPr>
          <w:rFonts w:eastAsiaTheme="minorHAnsi" w:cs="Arial"/>
          <w:sz w:val="22"/>
          <w:szCs w:val="22"/>
          <w:lang w:eastAsia="en-US"/>
        </w:rPr>
        <w:t xml:space="preserve"> jsou zásadním rizikem </w:t>
      </w:r>
      <w:r w:rsidR="00041F7B">
        <w:rPr>
          <w:rFonts w:eastAsiaTheme="minorHAnsi" w:cs="Arial"/>
          <w:sz w:val="22"/>
          <w:szCs w:val="22"/>
          <w:lang w:eastAsia="en-US"/>
        </w:rPr>
        <w:t>pro realizaci projektů a</w:t>
      </w:r>
      <w:r w:rsidR="00C710A4">
        <w:rPr>
          <w:rFonts w:eastAsiaTheme="minorHAnsi" w:cs="Arial"/>
          <w:sz w:val="22"/>
          <w:szCs w:val="22"/>
          <w:lang w:eastAsia="en-US"/>
        </w:rPr>
        <w:t> </w:t>
      </w:r>
      <w:r w:rsidR="00041F7B">
        <w:rPr>
          <w:rFonts w:eastAsiaTheme="minorHAnsi" w:cs="Arial"/>
          <w:sz w:val="22"/>
          <w:szCs w:val="22"/>
          <w:lang w:eastAsia="en-US"/>
        </w:rPr>
        <w:t xml:space="preserve"> </w:t>
      </w:r>
      <w:r w:rsidR="00C121B1">
        <w:rPr>
          <w:rFonts w:eastAsiaTheme="minorHAnsi" w:cs="Arial"/>
          <w:sz w:val="22"/>
          <w:szCs w:val="22"/>
          <w:lang w:eastAsia="en-US"/>
        </w:rPr>
        <w:t xml:space="preserve">plynulého </w:t>
      </w:r>
      <w:r w:rsidR="00041F7B">
        <w:rPr>
          <w:rFonts w:eastAsiaTheme="minorHAnsi" w:cs="Arial"/>
          <w:sz w:val="22"/>
          <w:szCs w:val="22"/>
          <w:lang w:eastAsia="en-US"/>
        </w:rPr>
        <w:t>čerpání dotací</w:t>
      </w:r>
      <w:r w:rsidRPr="001B0B4D">
        <w:rPr>
          <w:rFonts w:eastAsiaTheme="minorHAnsi" w:cs="Arial"/>
          <w:sz w:val="22"/>
          <w:szCs w:val="22"/>
          <w:lang w:eastAsia="en-US"/>
        </w:rPr>
        <w:t xml:space="preserve">. </w:t>
      </w:r>
      <w:r w:rsidR="00041F7B">
        <w:rPr>
          <w:rFonts w:eastAsiaTheme="minorHAnsi" w:cs="Arial"/>
          <w:sz w:val="22"/>
          <w:szCs w:val="22"/>
          <w:lang w:eastAsia="en-US"/>
        </w:rPr>
        <w:t>V</w:t>
      </w:r>
      <w:r w:rsidRPr="001B0B4D">
        <w:rPr>
          <w:rFonts w:eastAsiaTheme="minorHAnsi" w:cs="Arial"/>
          <w:sz w:val="22"/>
          <w:szCs w:val="22"/>
          <w:lang w:eastAsia="en-US"/>
        </w:rPr>
        <w:t> dosavadní re</w:t>
      </w:r>
      <w:r w:rsidR="00F3421B">
        <w:rPr>
          <w:rFonts w:eastAsiaTheme="minorHAnsi" w:cs="Arial"/>
          <w:sz w:val="22"/>
          <w:szCs w:val="22"/>
          <w:lang w:eastAsia="en-US"/>
        </w:rPr>
        <w:t>a</w:t>
      </w:r>
      <w:r w:rsidRPr="001B0B4D">
        <w:rPr>
          <w:rFonts w:eastAsiaTheme="minorHAnsi" w:cs="Arial"/>
          <w:sz w:val="22"/>
          <w:szCs w:val="22"/>
          <w:lang w:eastAsia="en-US"/>
        </w:rPr>
        <w:t>lizac</w:t>
      </w:r>
      <w:r w:rsidR="00041F7B">
        <w:rPr>
          <w:rFonts w:eastAsiaTheme="minorHAnsi" w:cs="Arial"/>
          <w:sz w:val="22"/>
          <w:szCs w:val="22"/>
          <w:lang w:eastAsia="en-US"/>
        </w:rPr>
        <w:t>i</w:t>
      </w:r>
      <w:r w:rsidRPr="001B0B4D">
        <w:rPr>
          <w:rFonts w:eastAsiaTheme="minorHAnsi" w:cs="Arial"/>
          <w:sz w:val="22"/>
          <w:szCs w:val="22"/>
          <w:lang w:eastAsia="en-US"/>
        </w:rPr>
        <w:t xml:space="preserve"> projektů byly </w:t>
      </w:r>
      <w:r w:rsidR="00041F7B" w:rsidRPr="001B0B4D">
        <w:rPr>
          <w:rFonts w:eastAsiaTheme="minorHAnsi" w:cs="Arial"/>
          <w:sz w:val="22"/>
          <w:szCs w:val="22"/>
          <w:lang w:eastAsia="en-US"/>
        </w:rPr>
        <w:t>nejčastěj</w:t>
      </w:r>
      <w:r w:rsidR="00041F7B">
        <w:rPr>
          <w:rFonts w:eastAsiaTheme="minorHAnsi" w:cs="Arial"/>
          <w:sz w:val="22"/>
          <w:szCs w:val="22"/>
          <w:lang w:eastAsia="en-US"/>
        </w:rPr>
        <w:t>i</w:t>
      </w:r>
      <w:r w:rsidR="00041F7B" w:rsidRPr="001B0B4D">
        <w:rPr>
          <w:rFonts w:eastAsiaTheme="minorHAnsi" w:cs="Arial"/>
          <w:sz w:val="22"/>
          <w:szCs w:val="22"/>
          <w:lang w:eastAsia="en-US"/>
        </w:rPr>
        <w:t xml:space="preserve"> </w:t>
      </w:r>
      <w:r w:rsidRPr="001B0B4D">
        <w:rPr>
          <w:rFonts w:eastAsiaTheme="minorHAnsi" w:cs="Arial"/>
          <w:sz w:val="22"/>
          <w:szCs w:val="22"/>
          <w:lang w:eastAsia="en-US"/>
        </w:rPr>
        <w:t xml:space="preserve">identifikované </w:t>
      </w:r>
      <w:r w:rsidR="00041F7B">
        <w:rPr>
          <w:rFonts w:eastAsiaTheme="minorHAnsi" w:cs="Arial"/>
          <w:sz w:val="22"/>
          <w:szCs w:val="22"/>
          <w:lang w:eastAsia="en-US"/>
        </w:rPr>
        <w:t>chyby</w:t>
      </w:r>
      <w:r w:rsidRPr="001B0B4D">
        <w:rPr>
          <w:rFonts w:eastAsiaTheme="minorHAnsi" w:cs="Arial"/>
          <w:sz w:val="22"/>
          <w:szCs w:val="22"/>
          <w:lang w:eastAsia="en-US"/>
        </w:rPr>
        <w:t xml:space="preserve"> spojené </w:t>
      </w:r>
      <w:r w:rsidR="00C121B1">
        <w:rPr>
          <w:rFonts w:eastAsiaTheme="minorHAnsi" w:cs="Arial"/>
          <w:sz w:val="22"/>
          <w:szCs w:val="22"/>
          <w:lang w:eastAsia="en-US"/>
        </w:rPr>
        <w:t>přípravou a realizací veřejných zakázek</w:t>
      </w:r>
      <w:r w:rsidRPr="001B0B4D">
        <w:rPr>
          <w:rFonts w:eastAsiaTheme="minorHAnsi" w:cs="Arial"/>
          <w:sz w:val="22"/>
          <w:szCs w:val="22"/>
          <w:lang w:eastAsia="en-US"/>
        </w:rPr>
        <w:t>.</w:t>
      </w:r>
      <w:r w:rsidR="00A15AAB">
        <w:rPr>
          <w:rFonts w:eastAsiaTheme="minorHAnsi" w:cs="Arial"/>
          <w:sz w:val="22"/>
          <w:szCs w:val="22"/>
          <w:lang w:eastAsia="en-US"/>
        </w:rPr>
        <w:t xml:space="preserve"> Nejčastější</w:t>
      </w:r>
      <w:r w:rsidR="004B10FC">
        <w:rPr>
          <w:rFonts w:eastAsiaTheme="minorHAnsi" w:cs="Arial"/>
          <w:sz w:val="22"/>
          <w:szCs w:val="22"/>
          <w:lang w:eastAsia="en-US"/>
        </w:rPr>
        <w:t>m problémem je opakování veřejných zakázek</w:t>
      </w:r>
      <w:r w:rsidR="00A15AAB">
        <w:rPr>
          <w:rFonts w:eastAsiaTheme="minorHAnsi" w:cs="Arial"/>
          <w:sz w:val="22"/>
          <w:szCs w:val="22"/>
          <w:lang w:eastAsia="en-US"/>
        </w:rPr>
        <w:t xml:space="preserve"> z důvodu </w:t>
      </w:r>
      <w:r w:rsidR="004B10FC">
        <w:rPr>
          <w:rFonts w:eastAsiaTheme="minorHAnsi" w:cs="Arial"/>
          <w:sz w:val="22"/>
          <w:szCs w:val="22"/>
          <w:lang w:eastAsia="en-US"/>
        </w:rPr>
        <w:t>jejich</w:t>
      </w:r>
      <w:r w:rsidR="00A15AAB">
        <w:rPr>
          <w:rFonts w:eastAsiaTheme="minorHAnsi" w:cs="Arial"/>
          <w:sz w:val="22"/>
          <w:szCs w:val="22"/>
          <w:lang w:eastAsia="en-US"/>
        </w:rPr>
        <w:t xml:space="preserve"> zrušení (pod</w:t>
      </w:r>
      <w:r w:rsidR="00C121B1">
        <w:rPr>
          <w:rFonts w:eastAsiaTheme="minorHAnsi" w:cs="Arial"/>
          <w:sz w:val="22"/>
          <w:szCs w:val="22"/>
          <w:lang w:eastAsia="en-US"/>
        </w:rPr>
        <w:t>n</w:t>
      </w:r>
      <w:r w:rsidR="00A15AAB">
        <w:rPr>
          <w:rFonts w:eastAsiaTheme="minorHAnsi" w:cs="Arial"/>
          <w:sz w:val="22"/>
          <w:szCs w:val="22"/>
          <w:lang w:eastAsia="en-US"/>
        </w:rPr>
        <w:t>ět</w:t>
      </w:r>
      <w:r w:rsidR="005D6B9D">
        <w:rPr>
          <w:rFonts w:eastAsiaTheme="minorHAnsi" w:cs="Arial"/>
          <w:sz w:val="22"/>
          <w:szCs w:val="22"/>
          <w:lang w:eastAsia="en-US"/>
        </w:rPr>
        <w:t xml:space="preserve"> na</w:t>
      </w:r>
      <w:r w:rsidR="00A15AAB">
        <w:rPr>
          <w:rFonts w:eastAsiaTheme="minorHAnsi" w:cs="Arial"/>
          <w:sz w:val="22"/>
          <w:szCs w:val="22"/>
          <w:lang w:eastAsia="en-US"/>
        </w:rPr>
        <w:t xml:space="preserve"> ÚOHS, </w:t>
      </w:r>
      <w:r w:rsidR="00C121B1">
        <w:rPr>
          <w:rFonts w:eastAsiaTheme="minorHAnsi" w:cs="Arial"/>
          <w:sz w:val="22"/>
          <w:szCs w:val="22"/>
          <w:lang w:eastAsia="en-US"/>
        </w:rPr>
        <w:t>nepředložení žádné</w:t>
      </w:r>
      <w:r w:rsidR="00A15AAB">
        <w:rPr>
          <w:rFonts w:eastAsiaTheme="minorHAnsi" w:cs="Arial"/>
          <w:sz w:val="22"/>
          <w:szCs w:val="22"/>
          <w:lang w:eastAsia="en-US"/>
        </w:rPr>
        <w:t xml:space="preserve"> nabídk</w:t>
      </w:r>
      <w:r w:rsidR="00C121B1">
        <w:rPr>
          <w:rFonts w:eastAsiaTheme="minorHAnsi" w:cs="Arial"/>
          <w:sz w:val="22"/>
          <w:szCs w:val="22"/>
          <w:lang w:eastAsia="en-US"/>
        </w:rPr>
        <w:t>y, nebo pouze jedné nabídky a následné zrušení celého řízení</w:t>
      </w:r>
      <w:r w:rsidR="00A15AAB">
        <w:rPr>
          <w:rFonts w:eastAsiaTheme="minorHAnsi" w:cs="Arial"/>
          <w:sz w:val="22"/>
          <w:szCs w:val="22"/>
          <w:lang w:eastAsia="en-US"/>
        </w:rPr>
        <w:t xml:space="preserve">). </w:t>
      </w:r>
      <w:r w:rsidR="00C121B1">
        <w:rPr>
          <w:rFonts w:eastAsiaTheme="minorHAnsi" w:cs="Arial"/>
          <w:sz w:val="22"/>
          <w:szCs w:val="22"/>
          <w:lang w:eastAsia="en-US"/>
        </w:rPr>
        <w:t>Dalším okruhem problémů</w:t>
      </w:r>
      <w:r w:rsidR="00343D3D">
        <w:rPr>
          <w:rFonts w:eastAsiaTheme="minorHAnsi" w:cs="Arial"/>
          <w:sz w:val="22"/>
          <w:szCs w:val="22"/>
          <w:lang w:eastAsia="en-US"/>
        </w:rPr>
        <w:t xml:space="preserve"> majících vliv na zdržení realizace</w:t>
      </w:r>
      <w:r w:rsidR="00C121B1">
        <w:rPr>
          <w:rFonts w:eastAsiaTheme="minorHAnsi" w:cs="Arial"/>
          <w:sz w:val="22"/>
          <w:szCs w:val="22"/>
          <w:lang w:eastAsia="en-US"/>
        </w:rPr>
        <w:t xml:space="preserve"> je obstrukční p</w:t>
      </w:r>
      <w:r w:rsidR="00A15AAB">
        <w:rPr>
          <w:rFonts w:eastAsiaTheme="minorHAnsi" w:cs="Arial"/>
          <w:sz w:val="22"/>
          <w:szCs w:val="22"/>
          <w:lang w:eastAsia="en-US"/>
        </w:rPr>
        <w:t>od</w:t>
      </w:r>
      <w:r w:rsidR="00C121B1">
        <w:rPr>
          <w:rFonts w:eastAsiaTheme="minorHAnsi" w:cs="Arial"/>
          <w:sz w:val="22"/>
          <w:szCs w:val="22"/>
          <w:lang w:eastAsia="en-US"/>
        </w:rPr>
        <w:t>n</w:t>
      </w:r>
      <w:r w:rsidR="00A15AAB">
        <w:rPr>
          <w:rFonts w:eastAsiaTheme="minorHAnsi" w:cs="Arial"/>
          <w:sz w:val="22"/>
          <w:szCs w:val="22"/>
          <w:lang w:eastAsia="en-US"/>
        </w:rPr>
        <w:t>ět uchazeče a následné šetření ÚOHS</w:t>
      </w:r>
      <w:r w:rsidR="00C121B1">
        <w:rPr>
          <w:rFonts w:eastAsiaTheme="minorHAnsi" w:cs="Arial"/>
          <w:sz w:val="22"/>
          <w:szCs w:val="22"/>
          <w:lang w:eastAsia="en-US"/>
        </w:rPr>
        <w:t xml:space="preserve"> z důvodu konkurenčního boje</w:t>
      </w:r>
      <w:r w:rsidR="009B46A2">
        <w:rPr>
          <w:rFonts w:eastAsiaTheme="minorHAnsi" w:cs="Arial"/>
          <w:sz w:val="22"/>
          <w:szCs w:val="22"/>
          <w:lang w:eastAsia="en-US"/>
        </w:rPr>
        <w:t xml:space="preserve"> mezi dodavateli</w:t>
      </w:r>
      <w:r w:rsidR="00C121B1">
        <w:rPr>
          <w:rFonts w:eastAsiaTheme="minorHAnsi" w:cs="Arial"/>
          <w:sz w:val="22"/>
          <w:szCs w:val="22"/>
          <w:lang w:eastAsia="en-US"/>
        </w:rPr>
        <w:t>.</w:t>
      </w:r>
      <w:r w:rsidR="00A15AAB">
        <w:rPr>
          <w:rFonts w:eastAsiaTheme="minorHAnsi" w:cs="Arial"/>
          <w:sz w:val="22"/>
          <w:szCs w:val="22"/>
          <w:lang w:eastAsia="en-US"/>
        </w:rPr>
        <w:t xml:space="preserve"> T</w:t>
      </w:r>
      <w:r w:rsidR="00C121B1">
        <w:rPr>
          <w:rFonts w:eastAsiaTheme="minorHAnsi" w:cs="Arial"/>
          <w:sz w:val="22"/>
          <w:szCs w:val="22"/>
          <w:lang w:eastAsia="en-US"/>
        </w:rPr>
        <w:t>a</w:t>
      </w:r>
      <w:r w:rsidR="00A15AAB">
        <w:rPr>
          <w:rFonts w:eastAsiaTheme="minorHAnsi" w:cs="Arial"/>
          <w:sz w:val="22"/>
          <w:szCs w:val="22"/>
          <w:lang w:eastAsia="en-US"/>
        </w:rPr>
        <w:t xml:space="preserve">to rizika částečně řeší novela </w:t>
      </w:r>
      <w:r w:rsidR="00A15AAB" w:rsidRPr="00A15AAB">
        <w:rPr>
          <w:rFonts w:eastAsiaTheme="minorHAnsi" w:cs="Arial"/>
          <w:sz w:val="22"/>
          <w:szCs w:val="22"/>
          <w:lang w:eastAsia="en-US"/>
        </w:rPr>
        <w:t>zákona č. 137/2006 o veřejných zakázkách</w:t>
      </w:r>
      <w:r w:rsidR="00246AE4">
        <w:rPr>
          <w:rFonts w:eastAsiaTheme="minorHAnsi" w:cs="Arial"/>
          <w:sz w:val="22"/>
          <w:szCs w:val="22"/>
          <w:lang w:eastAsia="en-US"/>
        </w:rPr>
        <w:t>, kdy</w:t>
      </w:r>
      <w:r w:rsidR="00A15AAB">
        <w:rPr>
          <w:rFonts w:eastAsiaTheme="minorHAnsi" w:cs="Arial"/>
          <w:sz w:val="22"/>
          <w:szCs w:val="22"/>
          <w:lang w:eastAsia="en-US"/>
        </w:rPr>
        <w:t xml:space="preserve"> odpadá</w:t>
      </w:r>
      <w:r w:rsidR="00A15AAB" w:rsidRPr="00A15AAB">
        <w:rPr>
          <w:rFonts w:eastAsiaTheme="minorHAnsi" w:cs="Arial"/>
          <w:sz w:val="22"/>
          <w:szCs w:val="22"/>
          <w:lang w:eastAsia="en-US"/>
        </w:rPr>
        <w:t xml:space="preserve"> povinnost rušit zadávací řízení </w:t>
      </w:r>
      <w:r w:rsidR="00A15AAB">
        <w:rPr>
          <w:rFonts w:eastAsiaTheme="minorHAnsi" w:cs="Arial"/>
          <w:sz w:val="22"/>
          <w:szCs w:val="22"/>
          <w:lang w:eastAsia="en-US"/>
        </w:rPr>
        <w:t>v případě, že zadavatel obdrží jednu nabídku, což bude mít</w:t>
      </w:r>
      <w:r w:rsidR="00A15AAB" w:rsidRPr="00A15AAB">
        <w:rPr>
          <w:rFonts w:eastAsiaTheme="minorHAnsi" w:cs="Arial"/>
          <w:sz w:val="22"/>
          <w:szCs w:val="22"/>
          <w:lang w:eastAsia="en-US"/>
        </w:rPr>
        <w:t xml:space="preserve"> pozitivní vliv na </w:t>
      </w:r>
      <w:r w:rsidR="00C121B1">
        <w:rPr>
          <w:rFonts w:eastAsiaTheme="minorHAnsi" w:cs="Arial"/>
          <w:sz w:val="22"/>
          <w:szCs w:val="22"/>
          <w:lang w:eastAsia="en-US"/>
        </w:rPr>
        <w:t xml:space="preserve">další </w:t>
      </w:r>
      <w:r w:rsidR="00A15AAB" w:rsidRPr="00A15AAB">
        <w:rPr>
          <w:rFonts w:eastAsiaTheme="minorHAnsi" w:cs="Arial"/>
          <w:sz w:val="22"/>
          <w:szCs w:val="22"/>
          <w:lang w:eastAsia="en-US"/>
        </w:rPr>
        <w:t>realizaci projektů</w:t>
      </w:r>
      <w:r w:rsidR="00A15AAB">
        <w:rPr>
          <w:rFonts w:eastAsiaTheme="minorHAnsi" w:cs="Arial"/>
          <w:sz w:val="22"/>
          <w:szCs w:val="22"/>
          <w:lang w:eastAsia="en-US"/>
        </w:rPr>
        <w:t>.</w:t>
      </w:r>
    </w:p>
    <w:p w:rsidR="009C5EFD" w:rsidRPr="009C5EFD" w:rsidRDefault="009C5EFD" w:rsidP="009C5EFD"/>
    <w:p w:rsidR="001B0B4D" w:rsidRDefault="001B0B4D" w:rsidP="00404FB0">
      <w:pPr>
        <w:pStyle w:val="Nadpis3"/>
        <w:numPr>
          <w:ilvl w:val="1"/>
          <w:numId w:val="4"/>
        </w:numPr>
        <w:rPr>
          <w:rStyle w:val="Zvraznn"/>
        </w:rPr>
      </w:pPr>
      <w:r>
        <w:rPr>
          <w:rStyle w:val="Zvraznn"/>
        </w:rPr>
        <w:t>Rizika</w:t>
      </w:r>
      <w:r w:rsidRPr="001B0B4D">
        <w:rPr>
          <w:rStyle w:val="Zvraznn"/>
        </w:rPr>
        <w:t xml:space="preserve"> </w:t>
      </w:r>
      <w:r w:rsidR="009B46A2">
        <w:rPr>
          <w:rStyle w:val="Zvraznn"/>
        </w:rPr>
        <w:t xml:space="preserve">u </w:t>
      </w:r>
      <w:r w:rsidRPr="001B0B4D">
        <w:rPr>
          <w:rStyle w:val="Zvraznn"/>
        </w:rPr>
        <w:t>příjemce podpory</w:t>
      </w:r>
    </w:p>
    <w:p w:rsidR="001B0B4D" w:rsidRDefault="00F7494C" w:rsidP="001B0B4D">
      <w:pPr>
        <w:spacing w:line="276" w:lineRule="auto"/>
        <w:jc w:val="both"/>
        <w:rPr>
          <w:rFonts w:eastAsiaTheme="minorHAnsi" w:cs="Arial"/>
          <w:sz w:val="22"/>
          <w:szCs w:val="22"/>
          <w:lang w:eastAsia="en-US"/>
        </w:rPr>
      </w:pPr>
      <w:r>
        <w:rPr>
          <w:rFonts w:eastAsiaTheme="minorHAnsi" w:cs="Arial"/>
          <w:sz w:val="22"/>
          <w:szCs w:val="22"/>
          <w:lang w:eastAsia="en-US"/>
        </w:rPr>
        <w:t>Realizace z</w:t>
      </w:r>
      <w:r w:rsidR="00041F7B">
        <w:rPr>
          <w:rFonts w:eastAsiaTheme="minorHAnsi" w:cs="Arial"/>
          <w:sz w:val="22"/>
          <w:szCs w:val="22"/>
          <w:lang w:eastAsia="en-US"/>
        </w:rPr>
        <w:t>adávací</w:t>
      </w:r>
      <w:r>
        <w:rPr>
          <w:rFonts w:eastAsiaTheme="minorHAnsi" w:cs="Arial"/>
          <w:sz w:val="22"/>
          <w:szCs w:val="22"/>
          <w:lang w:eastAsia="en-US"/>
        </w:rPr>
        <w:t>ho</w:t>
      </w:r>
      <w:r w:rsidR="00041F7B">
        <w:rPr>
          <w:rFonts w:eastAsiaTheme="minorHAnsi" w:cs="Arial"/>
          <w:sz w:val="22"/>
          <w:szCs w:val="22"/>
          <w:lang w:eastAsia="en-US"/>
        </w:rPr>
        <w:t xml:space="preserve"> nebo </w:t>
      </w:r>
      <w:r w:rsidR="001B0B4D" w:rsidRPr="001B0B4D">
        <w:rPr>
          <w:rFonts w:eastAsiaTheme="minorHAnsi" w:cs="Arial"/>
          <w:sz w:val="22"/>
          <w:szCs w:val="22"/>
          <w:lang w:eastAsia="en-US"/>
        </w:rPr>
        <w:t>výběrové</w:t>
      </w:r>
      <w:r>
        <w:rPr>
          <w:rFonts w:eastAsiaTheme="minorHAnsi" w:cs="Arial"/>
          <w:sz w:val="22"/>
          <w:szCs w:val="22"/>
          <w:lang w:eastAsia="en-US"/>
        </w:rPr>
        <w:t>ho</w:t>
      </w:r>
      <w:r w:rsidR="001B0B4D" w:rsidRPr="001B0B4D">
        <w:rPr>
          <w:rFonts w:eastAsiaTheme="minorHAnsi" w:cs="Arial"/>
          <w:sz w:val="22"/>
          <w:szCs w:val="22"/>
          <w:lang w:eastAsia="en-US"/>
        </w:rPr>
        <w:t xml:space="preserve"> řízení představuje</w:t>
      </w:r>
      <w:r w:rsidR="001B0B4D">
        <w:rPr>
          <w:rFonts w:eastAsiaTheme="minorHAnsi"/>
        </w:rPr>
        <w:t xml:space="preserve"> v</w:t>
      </w:r>
      <w:r w:rsidR="001B0B4D" w:rsidRPr="001B0B4D">
        <w:rPr>
          <w:rFonts w:eastAsiaTheme="minorHAnsi" w:cs="Arial"/>
          <w:sz w:val="22"/>
          <w:szCs w:val="22"/>
          <w:lang w:eastAsia="en-US"/>
        </w:rPr>
        <w:t xml:space="preserve">elké riziko </w:t>
      </w:r>
      <w:r w:rsidR="00041F7B">
        <w:rPr>
          <w:rFonts w:eastAsiaTheme="minorHAnsi" w:cs="Arial"/>
          <w:sz w:val="22"/>
          <w:szCs w:val="22"/>
          <w:lang w:eastAsia="en-US"/>
        </w:rPr>
        <w:t xml:space="preserve">vzniku pochybení </w:t>
      </w:r>
      <w:r>
        <w:rPr>
          <w:rFonts w:eastAsiaTheme="minorHAnsi" w:cs="Arial"/>
          <w:sz w:val="22"/>
          <w:szCs w:val="22"/>
          <w:lang w:eastAsia="en-US"/>
        </w:rPr>
        <w:t xml:space="preserve">ze strany </w:t>
      </w:r>
      <w:r w:rsidR="001B0B4D">
        <w:rPr>
          <w:rFonts w:eastAsiaTheme="minorHAnsi" w:cs="Arial"/>
          <w:sz w:val="22"/>
          <w:szCs w:val="22"/>
          <w:lang w:eastAsia="en-US"/>
        </w:rPr>
        <w:t>příjemc</w:t>
      </w:r>
      <w:r w:rsidR="00041F7B">
        <w:rPr>
          <w:rFonts w:eastAsiaTheme="minorHAnsi" w:cs="Arial"/>
          <w:sz w:val="22"/>
          <w:szCs w:val="22"/>
          <w:lang w:eastAsia="en-US"/>
        </w:rPr>
        <w:t>ů</w:t>
      </w:r>
      <w:r w:rsidR="001B0B4D">
        <w:rPr>
          <w:rFonts w:eastAsiaTheme="minorHAnsi" w:cs="Arial"/>
          <w:sz w:val="22"/>
          <w:szCs w:val="22"/>
          <w:lang w:eastAsia="en-US"/>
        </w:rPr>
        <w:t xml:space="preserve">. </w:t>
      </w:r>
      <w:r w:rsidR="00F3421B">
        <w:rPr>
          <w:rFonts w:eastAsiaTheme="minorHAnsi" w:cs="Arial"/>
          <w:sz w:val="22"/>
          <w:szCs w:val="22"/>
          <w:lang w:eastAsia="en-US"/>
        </w:rPr>
        <w:t xml:space="preserve">Zarážející </w:t>
      </w:r>
      <w:r w:rsidR="001B0B4D">
        <w:rPr>
          <w:rFonts w:eastAsiaTheme="minorHAnsi" w:cs="Arial"/>
          <w:sz w:val="22"/>
          <w:szCs w:val="22"/>
          <w:lang w:eastAsia="en-US"/>
        </w:rPr>
        <w:t xml:space="preserve">je, že správné postupy pro veřejné zakázky </w:t>
      </w:r>
      <w:r w:rsidR="00777064">
        <w:rPr>
          <w:rFonts w:eastAsiaTheme="minorHAnsi" w:cs="Arial"/>
          <w:sz w:val="22"/>
          <w:szCs w:val="22"/>
          <w:lang w:eastAsia="en-US"/>
        </w:rPr>
        <w:t xml:space="preserve">a zpracování </w:t>
      </w:r>
      <w:r w:rsidR="00777064">
        <w:rPr>
          <w:rFonts w:eastAsiaTheme="minorHAnsi" w:cs="Arial"/>
          <w:sz w:val="22"/>
          <w:szCs w:val="22"/>
          <w:lang w:eastAsia="en-US"/>
        </w:rPr>
        <w:lastRenderedPageBreak/>
        <w:t xml:space="preserve">zadávací dokumentace </w:t>
      </w:r>
      <w:r w:rsidR="001B0B4D">
        <w:rPr>
          <w:rFonts w:eastAsiaTheme="minorHAnsi" w:cs="Arial"/>
          <w:sz w:val="22"/>
          <w:szCs w:val="22"/>
          <w:lang w:eastAsia="en-US"/>
        </w:rPr>
        <w:t>se nedaří dodržovat ani organizacím veřejné správy</w:t>
      </w:r>
      <w:r>
        <w:rPr>
          <w:rFonts w:eastAsiaTheme="minorHAnsi" w:cs="Arial"/>
          <w:sz w:val="22"/>
          <w:szCs w:val="22"/>
          <w:lang w:eastAsia="en-US"/>
        </w:rPr>
        <w:t>,</w:t>
      </w:r>
      <w:r w:rsidR="001B0B4D">
        <w:rPr>
          <w:rFonts w:eastAsiaTheme="minorHAnsi" w:cs="Arial"/>
          <w:sz w:val="22"/>
          <w:szCs w:val="22"/>
          <w:lang w:eastAsia="en-US"/>
        </w:rPr>
        <w:t xml:space="preserve"> a zejména pak OSS. </w:t>
      </w:r>
    </w:p>
    <w:p w:rsidR="00041F7B" w:rsidRDefault="00041F7B" w:rsidP="001B0B4D">
      <w:pPr>
        <w:spacing w:line="276" w:lineRule="auto"/>
        <w:jc w:val="both"/>
        <w:rPr>
          <w:rFonts w:eastAsiaTheme="minorHAnsi" w:cs="Arial"/>
          <w:sz w:val="22"/>
          <w:szCs w:val="22"/>
          <w:lang w:eastAsia="en-US"/>
        </w:rPr>
      </w:pPr>
    </w:p>
    <w:p w:rsidR="001B0B4D" w:rsidRDefault="001B0B4D" w:rsidP="001B0B4D">
      <w:pPr>
        <w:spacing w:line="276" w:lineRule="auto"/>
        <w:jc w:val="both"/>
        <w:rPr>
          <w:rFonts w:eastAsiaTheme="minorHAnsi" w:cs="Arial"/>
          <w:sz w:val="22"/>
          <w:szCs w:val="22"/>
          <w:lang w:eastAsia="en-US"/>
        </w:rPr>
      </w:pPr>
      <w:r>
        <w:rPr>
          <w:rFonts w:eastAsiaTheme="minorHAnsi" w:cs="Arial"/>
          <w:sz w:val="22"/>
          <w:szCs w:val="22"/>
          <w:lang w:eastAsia="en-US"/>
        </w:rPr>
        <w:t xml:space="preserve">Specifickým problémem OSS je nedostatečná kontinuita manažerského řízení zakázek při změně ve vedení resortu, kdy </w:t>
      </w:r>
      <w:r w:rsidR="00041F7B">
        <w:rPr>
          <w:rFonts w:eastAsiaTheme="minorHAnsi" w:cs="Arial"/>
          <w:sz w:val="22"/>
          <w:szCs w:val="22"/>
          <w:lang w:eastAsia="en-US"/>
        </w:rPr>
        <w:t xml:space="preserve">se mění </w:t>
      </w:r>
      <w:r w:rsidR="009C5EFD">
        <w:rPr>
          <w:rFonts w:eastAsiaTheme="minorHAnsi" w:cs="Arial"/>
          <w:sz w:val="22"/>
          <w:szCs w:val="22"/>
          <w:lang w:eastAsia="en-US"/>
        </w:rPr>
        <w:t>zadávací dokumentac</w:t>
      </w:r>
      <w:r w:rsidR="00041F7B">
        <w:rPr>
          <w:rFonts w:eastAsiaTheme="minorHAnsi" w:cs="Arial"/>
          <w:sz w:val="22"/>
          <w:szCs w:val="22"/>
          <w:lang w:eastAsia="en-US"/>
        </w:rPr>
        <w:t>e</w:t>
      </w:r>
      <w:r w:rsidR="009C5EFD">
        <w:rPr>
          <w:rFonts w:eastAsiaTheme="minorHAnsi" w:cs="Arial"/>
          <w:sz w:val="22"/>
          <w:szCs w:val="22"/>
          <w:lang w:eastAsia="en-US"/>
        </w:rPr>
        <w:t>, n</w:t>
      </w:r>
      <w:r w:rsidR="00777064">
        <w:rPr>
          <w:rFonts w:eastAsiaTheme="minorHAnsi" w:cs="Arial"/>
          <w:sz w:val="22"/>
          <w:szCs w:val="22"/>
          <w:lang w:eastAsia="en-US"/>
        </w:rPr>
        <w:t>aru</w:t>
      </w:r>
      <w:r w:rsidR="009C5EFD">
        <w:rPr>
          <w:rFonts w:eastAsiaTheme="minorHAnsi" w:cs="Arial"/>
          <w:sz w:val="22"/>
          <w:szCs w:val="22"/>
          <w:lang w:eastAsia="en-US"/>
        </w:rPr>
        <w:t>š</w:t>
      </w:r>
      <w:r w:rsidR="00777064">
        <w:rPr>
          <w:rFonts w:eastAsiaTheme="minorHAnsi" w:cs="Arial"/>
          <w:sz w:val="22"/>
          <w:szCs w:val="22"/>
          <w:lang w:eastAsia="en-US"/>
        </w:rPr>
        <w:t>uj</w:t>
      </w:r>
      <w:r w:rsidR="00041F7B">
        <w:rPr>
          <w:rFonts w:eastAsiaTheme="minorHAnsi" w:cs="Arial"/>
          <w:sz w:val="22"/>
          <w:szCs w:val="22"/>
          <w:lang w:eastAsia="en-US"/>
        </w:rPr>
        <w:t>e se</w:t>
      </w:r>
      <w:r w:rsidR="00777064">
        <w:rPr>
          <w:rFonts w:eastAsiaTheme="minorHAnsi" w:cs="Arial"/>
          <w:sz w:val="22"/>
          <w:szCs w:val="22"/>
          <w:lang w:eastAsia="en-US"/>
        </w:rPr>
        <w:t xml:space="preserve"> harmonogram zakázky, </w:t>
      </w:r>
      <w:r>
        <w:rPr>
          <w:rFonts w:eastAsiaTheme="minorHAnsi" w:cs="Arial"/>
          <w:sz w:val="22"/>
          <w:szCs w:val="22"/>
          <w:lang w:eastAsia="en-US"/>
        </w:rPr>
        <w:t>nepodep</w:t>
      </w:r>
      <w:r w:rsidR="00041F7B">
        <w:rPr>
          <w:rFonts w:eastAsiaTheme="minorHAnsi" w:cs="Arial"/>
          <w:sz w:val="22"/>
          <w:szCs w:val="22"/>
          <w:lang w:eastAsia="en-US"/>
        </w:rPr>
        <w:t>i</w:t>
      </w:r>
      <w:r>
        <w:rPr>
          <w:rFonts w:eastAsiaTheme="minorHAnsi" w:cs="Arial"/>
          <w:sz w:val="22"/>
          <w:szCs w:val="22"/>
          <w:lang w:eastAsia="en-US"/>
        </w:rPr>
        <w:t>s</w:t>
      </w:r>
      <w:r w:rsidR="00041F7B">
        <w:rPr>
          <w:rFonts w:eastAsiaTheme="minorHAnsi" w:cs="Arial"/>
          <w:sz w:val="22"/>
          <w:szCs w:val="22"/>
          <w:lang w:eastAsia="en-US"/>
        </w:rPr>
        <w:t>uj</w:t>
      </w:r>
      <w:r>
        <w:rPr>
          <w:rFonts w:eastAsiaTheme="minorHAnsi" w:cs="Arial"/>
          <w:sz w:val="22"/>
          <w:szCs w:val="22"/>
          <w:lang w:eastAsia="en-US"/>
        </w:rPr>
        <w:t>í</w:t>
      </w:r>
      <w:r w:rsidR="00041F7B">
        <w:rPr>
          <w:rFonts w:eastAsiaTheme="minorHAnsi" w:cs="Arial"/>
          <w:sz w:val="22"/>
          <w:szCs w:val="22"/>
          <w:lang w:eastAsia="en-US"/>
        </w:rPr>
        <w:t xml:space="preserve"> se</w:t>
      </w:r>
      <w:r>
        <w:rPr>
          <w:rFonts w:eastAsiaTheme="minorHAnsi" w:cs="Arial"/>
          <w:sz w:val="22"/>
          <w:szCs w:val="22"/>
          <w:lang w:eastAsia="en-US"/>
        </w:rPr>
        <w:t xml:space="preserve"> smlouvy s</w:t>
      </w:r>
      <w:r w:rsidR="00041F7B">
        <w:rPr>
          <w:rFonts w:eastAsiaTheme="minorHAnsi" w:cs="Arial"/>
          <w:sz w:val="22"/>
          <w:szCs w:val="22"/>
          <w:lang w:eastAsia="en-US"/>
        </w:rPr>
        <w:t> </w:t>
      </w:r>
      <w:r>
        <w:rPr>
          <w:rFonts w:eastAsiaTheme="minorHAnsi" w:cs="Arial"/>
          <w:sz w:val="22"/>
          <w:szCs w:val="22"/>
          <w:lang w:eastAsia="en-US"/>
        </w:rPr>
        <w:t>dodavatelem</w:t>
      </w:r>
      <w:r w:rsidR="00777064">
        <w:rPr>
          <w:rFonts w:eastAsiaTheme="minorHAnsi" w:cs="Arial"/>
          <w:sz w:val="22"/>
          <w:szCs w:val="22"/>
          <w:lang w:eastAsia="en-US"/>
        </w:rPr>
        <w:t xml:space="preserve"> vybraným předchozím vedením</w:t>
      </w:r>
      <w:r w:rsidR="00F7494C">
        <w:rPr>
          <w:rFonts w:eastAsiaTheme="minorHAnsi" w:cs="Arial"/>
          <w:sz w:val="22"/>
          <w:szCs w:val="22"/>
          <w:lang w:eastAsia="en-US"/>
        </w:rPr>
        <w:t xml:space="preserve"> a</w:t>
      </w:r>
      <w:r w:rsidR="00C710A4">
        <w:rPr>
          <w:rFonts w:eastAsiaTheme="minorHAnsi" w:cs="Arial"/>
          <w:sz w:val="22"/>
          <w:szCs w:val="22"/>
          <w:lang w:eastAsia="en-US"/>
        </w:rPr>
        <w:t> </w:t>
      </w:r>
      <w:r w:rsidR="00777064">
        <w:rPr>
          <w:rFonts w:eastAsiaTheme="minorHAnsi" w:cs="Arial"/>
          <w:sz w:val="22"/>
          <w:szCs w:val="22"/>
          <w:lang w:eastAsia="en-US"/>
        </w:rPr>
        <w:t xml:space="preserve"> opakovan</w:t>
      </w:r>
      <w:r w:rsidR="00041F7B">
        <w:rPr>
          <w:rFonts w:eastAsiaTheme="minorHAnsi" w:cs="Arial"/>
          <w:sz w:val="22"/>
          <w:szCs w:val="22"/>
          <w:lang w:eastAsia="en-US"/>
        </w:rPr>
        <w:t>ě se</w:t>
      </w:r>
      <w:r w:rsidR="00251887">
        <w:rPr>
          <w:rFonts w:eastAsiaTheme="minorHAnsi" w:cs="Arial"/>
          <w:sz w:val="22"/>
          <w:szCs w:val="22"/>
          <w:lang w:eastAsia="en-US"/>
        </w:rPr>
        <w:t xml:space="preserve"> vyhla</w:t>
      </w:r>
      <w:r w:rsidR="00777064">
        <w:rPr>
          <w:rFonts w:eastAsiaTheme="minorHAnsi" w:cs="Arial"/>
          <w:sz w:val="22"/>
          <w:szCs w:val="22"/>
          <w:lang w:eastAsia="en-US"/>
        </w:rPr>
        <w:t>š</w:t>
      </w:r>
      <w:r w:rsidR="00041F7B">
        <w:rPr>
          <w:rFonts w:eastAsiaTheme="minorHAnsi" w:cs="Arial"/>
          <w:sz w:val="22"/>
          <w:szCs w:val="22"/>
          <w:lang w:eastAsia="en-US"/>
        </w:rPr>
        <w:t>uj</w:t>
      </w:r>
      <w:r w:rsidR="00777064">
        <w:rPr>
          <w:rFonts w:eastAsiaTheme="minorHAnsi" w:cs="Arial"/>
          <w:sz w:val="22"/>
          <w:szCs w:val="22"/>
          <w:lang w:eastAsia="en-US"/>
        </w:rPr>
        <w:t>í zakázky</w:t>
      </w:r>
      <w:r>
        <w:rPr>
          <w:rFonts w:eastAsiaTheme="minorHAnsi" w:cs="Arial"/>
          <w:sz w:val="22"/>
          <w:szCs w:val="22"/>
          <w:lang w:eastAsia="en-US"/>
        </w:rPr>
        <w:t>.</w:t>
      </w:r>
    </w:p>
    <w:p w:rsidR="009C5EFD" w:rsidRDefault="009C5EFD" w:rsidP="00404FB0">
      <w:pPr>
        <w:pStyle w:val="Nadpis3"/>
        <w:ind w:firstLine="709"/>
        <w:rPr>
          <w:rStyle w:val="Zvraznn"/>
        </w:rPr>
      </w:pPr>
      <w:r w:rsidRPr="009C5EFD">
        <w:rPr>
          <w:rStyle w:val="Zvraznn"/>
        </w:rPr>
        <w:t>Opatření</w:t>
      </w:r>
    </w:p>
    <w:p w:rsidR="009C5EFD" w:rsidRPr="001F58D6" w:rsidRDefault="00F337C1" w:rsidP="001F58D6">
      <w:pPr>
        <w:spacing w:line="276" w:lineRule="auto"/>
        <w:jc w:val="both"/>
        <w:rPr>
          <w:rFonts w:eastAsiaTheme="minorHAnsi" w:cs="Arial"/>
          <w:sz w:val="22"/>
          <w:szCs w:val="22"/>
          <w:lang w:eastAsia="en-US"/>
        </w:rPr>
      </w:pPr>
      <w:r>
        <w:rPr>
          <w:rFonts w:eastAsiaTheme="minorHAnsi" w:cs="Arial"/>
          <w:sz w:val="22"/>
          <w:szCs w:val="22"/>
          <w:lang w:eastAsia="en-US"/>
        </w:rPr>
        <w:t>Podpora</w:t>
      </w:r>
      <w:r w:rsidR="009C5EFD" w:rsidRPr="001F58D6">
        <w:rPr>
          <w:rFonts w:eastAsiaTheme="minorHAnsi" w:cs="Arial"/>
          <w:sz w:val="22"/>
          <w:szCs w:val="22"/>
          <w:lang w:eastAsia="en-US"/>
        </w:rPr>
        <w:t xml:space="preserve"> při přípravě </w:t>
      </w:r>
      <w:r w:rsidR="00041F7B">
        <w:rPr>
          <w:rFonts w:eastAsiaTheme="minorHAnsi" w:cs="Arial"/>
          <w:sz w:val="22"/>
          <w:szCs w:val="22"/>
          <w:lang w:eastAsia="en-US"/>
        </w:rPr>
        <w:t xml:space="preserve">zadávacích a </w:t>
      </w:r>
      <w:r w:rsidR="009C5EFD" w:rsidRPr="001F58D6">
        <w:rPr>
          <w:rFonts w:eastAsiaTheme="minorHAnsi" w:cs="Arial"/>
          <w:sz w:val="22"/>
          <w:szCs w:val="22"/>
          <w:lang w:eastAsia="en-US"/>
        </w:rPr>
        <w:t>výběrov</w:t>
      </w:r>
      <w:r w:rsidR="00041F7B">
        <w:rPr>
          <w:rFonts w:eastAsiaTheme="minorHAnsi" w:cs="Arial"/>
          <w:sz w:val="22"/>
          <w:szCs w:val="22"/>
          <w:lang w:eastAsia="en-US"/>
        </w:rPr>
        <w:t>ých</w:t>
      </w:r>
      <w:r w:rsidR="009C5EFD" w:rsidRPr="001F58D6">
        <w:rPr>
          <w:rFonts w:eastAsiaTheme="minorHAnsi" w:cs="Arial"/>
          <w:sz w:val="22"/>
          <w:szCs w:val="22"/>
          <w:lang w:eastAsia="en-US"/>
        </w:rPr>
        <w:t xml:space="preserve"> řízení </w:t>
      </w:r>
      <w:r w:rsidR="00041F7B">
        <w:rPr>
          <w:rFonts w:eastAsiaTheme="minorHAnsi" w:cs="Arial"/>
          <w:sz w:val="22"/>
          <w:szCs w:val="22"/>
          <w:lang w:eastAsia="en-US"/>
        </w:rPr>
        <w:t>je součástí</w:t>
      </w:r>
      <w:r w:rsidR="00041F7B" w:rsidRPr="00041F7B">
        <w:rPr>
          <w:rFonts w:eastAsiaTheme="minorHAnsi" w:cs="Arial"/>
          <w:sz w:val="22"/>
          <w:szCs w:val="22"/>
          <w:lang w:eastAsia="en-US"/>
        </w:rPr>
        <w:t xml:space="preserve"> </w:t>
      </w:r>
      <w:r w:rsidR="00041F7B">
        <w:rPr>
          <w:rFonts w:eastAsiaTheme="minorHAnsi" w:cs="Arial"/>
          <w:sz w:val="22"/>
          <w:szCs w:val="22"/>
          <w:lang w:eastAsia="en-US"/>
        </w:rPr>
        <w:t xml:space="preserve">činností </w:t>
      </w:r>
      <w:r w:rsidR="00512B41">
        <w:rPr>
          <w:rFonts w:eastAsiaTheme="minorHAnsi" w:cs="Arial"/>
          <w:sz w:val="22"/>
          <w:szCs w:val="22"/>
          <w:lang w:eastAsia="en-US"/>
        </w:rPr>
        <w:t>zprostředkujících subjektů</w:t>
      </w:r>
      <w:r w:rsidR="009B46A2">
        <w:rPr>
          <w:rFonts w:eastAsiaTheme="minorHAnsi" w:cs="Arial"/>
          <w:sz w:val="22"/>
          <w:szCs w:val="22"/>
          <w:lang w:eastAsia="en-US"/>
        </w:rPr>
        <w:t xml:space="preserve"> a probíhá během celého procesu od vzniku zadávací dokumentace až po podpis smlouvy s dodavatelem</w:t>
      </w:r>
      <w:r w:rsidR="009C5EFD" w:rsidRPr="001F58D6">
        <w:rPr>
          <w:rFonts w:eastAsiaTheme="minorHAnsi" w:cs="Arial"/>
          <w:sz w:val="22"/>
          <w:szCs w:val="22"/>
          <w:lang w:eastAsia="en-US"/>
        </w:rPr>
        <w:t xml:space="preserve">. </w:t>
      </w:r>
      <w:r>
        <w:rPr>
          <w:rFonts w:eastAsiaTheme="minorHAnsi" w:cs="Arial"/>
          <w:sz w:val="22"/>
          <w:szCs w:val="22"/>
          <w:lang w:eastAsia="en-US"/>
        </w:rPr>
        <w:t>P</w:t>
      </w:r>
      <w:r w:rsidR="009C5EFD" w:rsidRPr="001F58D6">
        <w:rPr>
          <w:rFonts w:eastAsiaTheme="minorHAnsi" w:cs="Arial"/>
          <w:sz w:val="22"/>
          <w:szCs w:val="22"/>
          <w:lang w:eastAsia="en-US"/>
        </w:rPr>
        <w:t xml:space="preserve">říjemce </w:t>
      </w:r>
      <w:r w:rsidR="009B46A2">
        <w:rPr>
          <w:rFonts w:eastAsiaTheme="minorHAnsi" w:cs="Arial"/>
          <w:sz w:val="22"/>
          <w:szCs w:val="22"/>
          <w:lang w:eastAsia="en-US"/>
        </w:rPr>
        <w:t xml:space="preserve">však </w:t>
      </w:r>
      <w:r>
        <w:rPr>
          <w:rFonts w:eastAsiaTheme="minorHAnsi" w:cs="Arial"/>
          <w:sz w:val="22"/>
          <w:szCs w:val="22"/>
          <w:lang w:eastAsia="en-US"/>
        </w:rPr>
        <w:t xml:space="preserve">musí </w:t>
      </w:r>
      <w:r w:rsidR="009C5EFD" w:rsidRPr="001F58D6">
        <w:rPr>
          <w:rFonts w:eastAsiaTheme="minorHAnsi" w:cs="Arial"/>
          <w:sz w:val="22"/>
          <w:szCs w:val="22"/>
          <w:lang w:eastAsia="en-US"/>
        </w:rPr>
        <w:t xml:space="preserve">věnovat maximální pozornost přípravě zakázky a organizačnímu zajištění spolupráce odborných útvarů. </w:t>
      </w:r>
      <w:r>
        <w:rPr>
          <w:rFonts w:eastAsiaTheme="minorHAnsi" w:cs="Arial"/>
          <w:sz w:val="22"/>
          <w:szCs w:val="22"/>
          <w:lang w:eastAsia="en-US"/>
        </w:rPr>
        <w:t>M</w:t>
      </w:r>
      <w:r w:rsidR="009C5EFD" w:rsidRPr="001F58D6">
        <w:rPr>
          <w:rFonts w:eastAsiaTheme="minorHAnsi" w:cs="Arial"/>
          <w:sz w:val="22"/>
          <w:szCs w:val="22"/>
          <w:lang w:eastAsia="en-US"/>
        </w:rPr>
        <w:t xml:space="preserve">usí zajistit, aby </w:t>
      </w:r>
      <w:r w:rsidR="001F58D6" w:rsidRPr="001F58D6">
        <w:rPr>
          <w:rFonts w:eastAsiaTheme="minorHAnsi" w:cs="Arial"/>
          <w:sz w:val="22"/>
          <w:szCs w:val="22"/>
          <w:lang w:eastAsia="en-US"/>
        </w:rPr>
        <w:t>nedocházelo k zásahům do průběhu veřejné zakázky, které nejsou v souladu s metodikou či</w:t>
      </w:r>
      <w:r w:rsidR="003017C3">
        <w:rPr>
          <w:rFonts w:eastAsiaTheme="minorHAnsi" w:cs="Arial"/>
          <w:sz w:val="22"/>
          <w:szCs w:val="22"/>
          <w:lang w:eastAsia="en-US"/>
        </w:rPr>
        <w:t> </w:t>
      </w:r>
      <w:r w:rsidR="001F58D6" w:rsidRPr="001F58D6">
        <w:rPr>
          <w:rFonts w:eastAsiaTheme="minorHAnsi" w:cs="Arial"/>
          <w:sz w:val="22"/>
          <w:szCs w:val="22"/>
          <w:lang w:eastAsia="en-US"/>
        </w:rPr>
        <w:t xml:space="preserve"> harmonogramem realizace projektu. Pokud byl určen vítěz veřejné soutěže a byly dodrženy všechny postupy dané legislativou a metodikou IOP, příjemce </w:t>
      </w:r>
      <w:r w:rsidR="009B46A2">
        <w:rPr>
          <w:rFonts w:eastAsiaTheme="minorHAnsi" w:cs="Arial"/>
          <w:sz w:val="22"/>
          <w:szCs w:val="22"/>
          <w:lang w:eastAsia="en-US"/>
        </w:rPr>
        <w:t xml:space="preserve">musí </w:t>
      </w:r>
      <w:r w:rsidR="001F58D6" w:rsidRPr="001F58D6">
        <w:rPr>
          <w:rFonts w:eastAsiaTheme="minorHAnsi" w:cs="Arial"/>
          <w:sz w:val="22"/>
          <w:szCs w:val="22"/>
          <w:lang w:eastAsia="en-US"/>
        </w:rPr>
        <w:t>uzavř</w:t>
      </w:r>
      <w:r w:rsidR="009B46A2">
        <w:rPr>
          <w:rFonts w:eastAsiaTheme="minorHAnsi" w:cs="Arial"/>
          <w:sz w:val="22"/>
          <w:szCs w:val="22"/>
          <w:lang w:eastAsia="en-US"/>
        </w:rPr>
        <w:t>ít</w:t>
      </w:r>
      <w:r w:rsidR="001F58D6" w:rsidRPr="001F58D6">
        <w:rPr>
          <w:rFonts w:eastAsiaTheme="minorHAnsi" w:cs="Arial"/>
          <w:sz w:val="22"/>
          <w:szCs w:val="22"/>
          <w:lang w:eastAsia="en-US"/>
        </w:rPr>
        <w:t xml:space="preserve"> smlouvu s vítězným uchazečem bez zbytečného odkladu.</w:t>
      </w:r>
    </w:p>
    <w:p w:rsidR="00777064" w:rsidRPr="00685E44" w:rsidRDefault="00685E44" w:rsidP="00404FB0">
      <w:pPr>
        <w:pStyle w:val="Nadpis3"/>
        <w:numPr>
          <w:ilvl w:val="1"/>
          <w:numId w:val="4"/>
        </w:numPr>
        <w:rPr>
          <w:rStyle w:val="Zvraznn"/>
        </w:rPr>
      </w:pPr>
      <w:r w:rsidRPr="00685E44">
        <w:rPr>
          <w:rStyle w:val="Zvraznn"/>
        </w:rPr>
        <w:t>Riziko jednoho uchazeče</w:t>
      </w:r>
    </w:p>
    <w:p w:rsidR="00685E44" w:rsidRDefault="00512B41" w:rsidP="00685E44">
      <w:pPr>
        <w:spacing w:line="276" w:lineRule="auto"/>
        <w:jc w:val="both"/>
        <w:rPr>
          <w:rFonts w:eastAsiaTheme="minorHAnsi" w:cs="Arial"/>
          <w:iCs/>
          <w:sz w:val="22"/>
          <w:szCs w:val="22"/>
          <w:lang w:eastAsia="en-US"/>
        </w:rPr>
      </w:pPr>
      <w:r>
        <w:rPr>
          <w:rFonts w:eastAsiaTheme="minorHAnsi" w:cs="Arial"/>
          <w:iCs/>
          <w:sz w:val="22"/>
          <w:szCs w:val="22"/>
          <w:lang w:eastAsia="en-US"/>
        </w:rPr>
        <w:t>Při pořizování</w:t>
      </w:r>
      <w:r w:rsidR="00685E44" w:rsidRPr="00685E44">
        <w:rPr>
          <w:rFonts w:eastAsiaTheme="minorHAnsi" w:cs="Arial"/>
          <w:iCs/>
          <w:sz w:val="22"/>
          <w:szCs w:val="22"/>
          <w:lang w:eastAsia="en-US"/>
        </w:rPr>
        <w:t xml:space="preserve"> některých specifických služeb a zboží </w:t>
      </w:r>
      <w:r>
        <w:rPr>
          <w:rFonts w:eastAsiaTheme="minorHAnsi" w:cs="Arial"/>
          <w:iCs/>
          <w:sz w:val="22"/>
          <w:szCs w:val="22"/>
          <w:lang w:eastAsia="en-US"/>
        </w:rPr>
        <w:t>existu</w:t>
      </w:r>
      <w:r w:rsidR="00685E44" w:rsidRPr="00685E44">
        <w:rPr>
          <w:rFonts w:eastAsiaTheme="minorHAnsi" w:cs="Arial"/>
          <w:iCs/>
          <w:sz w:val="22"/>
          <w:szCs w:val="22"/>
          <w:lang w:eastAsia="en-US"/>
        </w:rPr>
        <w:t xml:space="preserve">je značné </w:t>
      </w:r>
      <w:r>
        <w:rPr>
          <w:rFonts w:eastAsiaTheme="minorHAnsi" w:cs="Arial"/>
          <w:iCs/>
          <w:sz w:val="22"/>
          <w:szCs w:val="22"/>
          <w:lang w:eastAsia="en-US"/>
        </w:rPr>
        <w:t xml:space="preserve">objektivní </w:t>
      </w:r>
      <w:r w:rsidR="00685E44" w:rsidRPr="00685E44">
        <w:rPr>
          <w:rFonts w:eastAsiaTheme="minorHAnsi" w:cs="Arial"/>
          <w:iCs/>
          <w:sz w:val="22"/>
          <w:szCs w:val="22"/>
          <w:lang w:eastAsia="en-US"/>
        </w:rPr>
        <w:t xml:space="preserve">riziko, že se </w:t>
      </w:r>
      <w:r>
        <w:rPr>
          <w:rFonts w:eastAsiaTheme="minorHAnsi" w:cs="Arial"/>
          <w:iCs/>
          <w:sz w:val="22"/>
          <w:szCs w:val="22"/>
          <w:lang w:eastAsia="en-US"/>
        </w:rPr>
        <w:t>zadávacího</w:t>
      </w:r>
      <w:r w:rsidR="00685E44" w:rsidRPr="00685E44">
        <w:rPr>
          <w:rFonts w:eastAsiaTheme="minorHAnsi" w:cs="Arial"/>
          <w:iCs/>
          <w:sz w:val="22"/>
          <w:szCs w:val="22"/>
          <w:lang w:eastAsia="en-US"/>
        </w:rPr>
        <w:t xml:space="preserve"> řízení napoprvé zúčastní pouze jeden uchazeč</w:t>
      </w:r>
      <w:r w:rsidR="00685E44">
        <w:rPr>
          <w:rFonts w:eastAsiaTheme="minorHAnsi" w:cs="Arial"/>
          <w:iCs/>
          <w:sz w:val="22"/>
          <w:szCs w:val="22"/>
          <w:lang w:eastAsia="en-US"/>
        </w:rPr>
        <w:t xml:space="preserve">. Opakované vyhlášení </w:t>
      </w:r>
      <w:r w:rsidR="00F7494C">
        <w:rPr>
          <w:rFonts w:eastAsiaTheme="minorHAnsi" w:cs="Arial"/>
          <w:iCs/>
          <w:sz w:val="22"/>
          <w:szCs w:val="22"/>
          <w:lang w:eastAsia="en-US"/>
        </w:rPr>
        <w:t xml:space="preserve">pak </w:t>
      </w:r>
      <w:r w:rsidR="00685E44">
        <w:rPr>
          <w:rFonts w:eastAsiaTheme="minorHAnsi" w:cs="Arial"/>
          <w:iCs/>
          <w:sz w:val="22"/>
          <w:szCs w:val="22"/>
          <w:lang w:eastAsia="en-US"/>
        </w:rPr>
        <w:t xml:space="preserve">znamená </w:t>
      </w:r>
      <w:r w:rsidR="00685E44" w:rsidRPr="00685E44">
        <w:rPr>
          <w:rFonts w:eastAsiaTheme="minorHAnsi" w:cs="Arial"/>
          <w:iCs/>
          <w:sz w:val="22"/>
          <w:szCs w:val="22"/>
          <w:lang w:eastAsia="en-US"/>
        </w:rPr>
        <w:t>zpoždění realizace veřejné zakázky</w:t>
      </w:r>
      <w:r w:rsidR="00685E44">
        <w:rPr>
          <w:rFonts w:eastAsiaTheme="minorHAnsi" w:cs="Arial"/>
          <w:iCs/>
          <w:sz w:val="22"/>
          <w:szCs w:val="22"/>
          <w:lang w:eastAsia="en-US"/>
        </w:rPr>
        <w:t>.</w:t>
      </w:r>
    </w:p>
    <w:p w:rsidR="00A97BD8" w:rsidRDefault="00A97BD8" w:rsidP="00404FB0">
      <w:pPr>
        <w:pStyle w:val="Nadpis3"/>
        <w:ind w:firstLine="709"/>
        <w:rPr>
          <w:rStyle w:val="Zvraznn"/>
        </w:rPr>
      </w:pPr>
      <w:r w:rsidRPr="00A97BD8">
        <w:rPr>
          <w:rStyle w:val="Zvraznn"/>
        </w:rPr>
        <w:t>Opatření</w:t>
      </w:r>
    </w:p>
    <w:p w:rsidR="001F58D6" w:rsidRPr="001F58D6" w:rsidRDefault="001F58D6" w:rsidP="001F58D6">
      <w:pPr>
        <w:spacing w:line="276" w:lineRule="auto"/>
        <w:jc w:val="both"/>
        <w:rPr>
          <w:rFonts w:eastAsiaTheme="minorHAnsi" w:cs="Arial"/>
          <w:sz w:val="22"/>
          <w:szCs w:val="22"/>
          <w:lang w:eastAsia="en-US"/>
        </w:rPr>
      </w:pPr>
      <w:r w:rsidRPr="001F58D6">
        <w:rPr>
          <w:rFonts w:eastAsiaTheme="minorHAnsi" w:cs="Arial"/>
          <w:sz w:val="22"/>
          <w:szCs w:val="22"/>
          <w:lang w:eastAsia="en-US"/>
        </w:rPr>
        <w:t>Riziku lze předcházet v omezené míře průzkumem trhu, avšak nelze jej zcela elimin</w:t>
      </w:r>
      <w:r>
        <w:rPr>
          <w:rFonts w:eastAsiaTheme="minorHAnsi" w:cs="Arial"/>
          <w:sz w:val="22"/>
          <w:szCs w:val="22"/>
          <w:lang w:eastAsia="en-US"/>
        </w:rPr>
        <w:t>o</w:t>
      </w:r>
      <w:r w:rsidRPr="001F58D6">
        <w:rPr>
          <w:rFonts w:eastAsiaTheme="minorHAnsi" w:cs="Arial"/>
          <w:sz w:val="22"/>
          <w:szCs w:val="22"/>
          <w:lang w:eastAsia="en-US"/>
        </w:rPr>
        <w:t>vat.</w:t>
      </w:r>
      <w:r w:rsidR="00BD1AEF">
        <w:rPr>
          <w:rFonts w:eastAsiaTheme="minorHAnsi" w:cs="Arial"/>
          <w:sz w:val="22"/>
          <w:szCs w:val="22"/>
          <w:lang w:eastAsia="en-US"/>
        </w:rPr>
        <w:t xml:space="preserve"> Problematiku jednoho uchazeče může částečně řešit novela zákona o veřej</w:t>
      </w:r>
      <w:r w:rsidR="00C1727B">
        <w:rPr>
          <w:rFonts w:eastAsiaTheme="minorHAnsi" w:cs="Arial"/>
          <w:sz w:val="22"/>
          <w:szCs w:val="22"/>
          <w:lang w:eastAsia="en-US"/>
        </w:rPr>
        <w:t xml:space="preserve">ných zakázkách, ta se ale </w:t>
      </w:r>
      <w:r w:rsidR="005D6B9D">
        <w:rPr>
          <w:rFonts w:eastAsiaTheme="minorHAnsi" w:cs="Arial"/>
          <w:sz w:val="22"/>
          <w:szCs w:val="22"/>
          <w:lang w:eastAsia="en-US"/>
        </w:rPr>
        <w:t>vztahuje</w:t>
      </w:r>
      <w:r w:rsidR="00FC2E4B">
        <w:rPr>
          <w:rFonts w:eastAsiaTheme="minorHAnsi" w:cs="Arial"/>
          <w:sz w:val="22"/>
          <w:szCs w:val="22"/>
          <w:lang w:eastAsia="en-US"/>
        </w:rPr>
        <w:t xml:space="preserve"> </w:t>
      </w:r>
      <w:r w:rsidR="00BD1AEF">
        <w:rPr>
          <w:rFonts w:eastAsiaTheme="minorHAnsi" w:cs="Arial"/>
          <w:sz w:val="22"/>
          <w:szCs w:val="22"/>
          <w:lang w:eastAsia="en-US"/>
        </w:rPr>
        <w:t>pouze na výběrová řízení</w:t>
      </w:r>
      <w:r w:rsidR="00402CEA">
        <w:rPr>
          <w:rFonts w:eastAsiaTheme="minorHAnsi" w:cs="Arial"/>
          <w:sz w:val="22"/>
          <w:szCs w:val="22"/>
          <w:lang w:eastAsia="en-US"/>
        </w:rPr>
        <w:t>,</w:t>
      </w:r>
      <w:r w:rsidR="00BD1AEF">
        <w:rPr>
          <w:rFonts w:eastAsiaTheme="minorHAnsi" w:cs="Arial"/>
          <w:sz w:val="22"/>
          <w:szCs w:val="22"/>
          <w:lang w:eastAsia="en-US"/>
        </w:rPr>
        <w:t xml:space="preserve"> vyhlášená </w:t>
      </w:r>
      <w:r w:rsidR="00FC2E4B">
        <w:rPr>
          <w:rFonts w:eastAsiaTheme="minorHAnsi" w:cs="Arial"/>
          <w:sz w:val="22"/>
          <w:szCs w:val="22"/>
          <w:lang w:eastAsia="en-US"/>
        </w:rPr>
        <w:t>po nabití účinnosti novely zákona.</w:t>
      </w:r>
    </w:p>
    <w:p w:rsidR="00A836B6" w:rsidRPr="00777064" w:rsidRDefault="00402CEA" w:rsidP="00404FB0">
      <w:pPr>
        <w:pStyle w:val="Nadpis3"/>
        <w:numPr>
          <w:ilvl w:val="1"/>
          <w:numId w:val="4"/>
        </w:numPr>
        <w:rPr>
          <w:rStyle w:val="Zvraznn"/>
        </w:rPr>
      </w:pPr>
      <w:r>
        <w:rPr>
          <w:rStyle w:val="Zvraznn"/>
        </w:rPr>
        <w:t>Opakované podněty k Ú</w:t>
      </w:r>
      <w:r w:rsidR="001B0B4D" w:rsidRPr="00777064">
        <w:rPr>
          <w:rStyle w:val="Zvraznn"/>
        </w:rPr>
        <w:t xml:space="preserve">OHS </w:t>
      </w:r>
    </w:p>
    <w:p w:rsidR="00777064" w:rsidRDefault="00777064" w:rsidP="000F4C4A">
      <w:pPr>
        <w:spacing w:line="276" w:lineRule="auto"/>
        <w:jc w:val="both"/>
        <w:rPr>
          <w:rFonts w:eastAsiaTheme="minorHAnsi" w:cs="Arial"/>
          <w:sz w:val="22"/>
          <w:szCs w:val="22"/>
          <w:lang w:eastAsia="en-US"/>
        </w:rPr>
      </w:pPr>
      <w:r w:rsidRPr="00777064">
        <w:rPr>
          <w:rFonts w:eastAsiaTheme="minorHAnsi" w:cs="Arial"/>
          <w:sz w:val="22"/>
          <w:szCs w:val="22"/>
          <w:lang w:eastAsia="en-US"/>
        </w:rPr>
        <w:t>Jedním z nejvýznamnějších aspektů, který negativně dopadá na veřejné zakázky</w:t>
      </w:r>
      <w:r w:rsidR="00F337C1">
        <w:rPr>
          <w:rFonts w:eastAsiaTheme="minorHAnsi" w:cs="Arial"/>
          <w:sz w:val="22"/>
          <w:szCs w:val="22"/>
          <w:lang w:eastAsia="en-US"/>
        </w:rPr>
        <w:t>,</w:t>
      </w:r>
      <w:r w:rsidRPr="00777064">
        <w:rPr>
          <w:rFonts w:eastAsiaTheme="minorHAnsi" w:cs="Arial"/>
          <w:sz w:val="22"/>
          <w:szCs w:val="22"/>
          <w:lang w:eastAsia="en-US"/>
        </w:rPr>
        <w:t xml:space="preserve"> je</w:t>
      </w:r>
      <w:r w:rsidR="003017C3">
        <w:rPr>
          <w:rFonts w:eastAsiaTheme="minorHAnsi" w:cs="Arial"/>
          <w:sz w:val="22"/>
          <w:szCs w:val="22"/>
          <w:lang w:eastAsia="en-US"/>
        </w:rPr>
        <w:t> </w:t>
      </w:r>
      <w:r w:rsidRPr="00777064">
        <w:rPr>
          <w:rFonts w:eastAsiaTheme="minorHAnsi" w:cs="Arial"/>
          <w:sz w:val="22"/>
          <w:szCs w:val="22"/>
          <w:lang w:eastAsia="en-US"/>
        </w:rPr>
        <w:t xml:space="preserve"> opakované napadání průběhu řízení neúspěšnými uchazeči. ÚOHS není vázaný zákonnou lhůtou pro prošetření stížností. Není výjimkou, že řízení na </w:t>
      </w:r>
      <w:r w:rsidR="00512B41">
        <w:rPr>
          <w:rFonts w:eastAsiaTheme="minorHAnsi" w:cs="Arial"/>
          <w:sz w:val="22"/>
          <w:szCs w:val="22"/>
          <w:lang w:eastAsia="en-US"/>
        </w:rPr>
        <w:t xml:space="preserve">výběr </w:t>
      </w:r>
      <w:r w:rsidRPr="00777064">
        <w:rPr>
          <w:rFonts w:eastAsiaTheme="minorHAnsi" w:cs="Arial"/>
          <w:sz w:val="22"/>
          <w:szCs w:val="22"/>
          <w:lang w:eastAsia="en-US"/>
        </w:rPr>
        <w:t>dodavatele trvá déle než rok.</w:t>
      </w:r>
      <w:r>
        <w:rPr>
          <w:rFonts w:eastAsiaTheme="minorHAnsi" w:cs="Arial"/>
          <w:sz w:val="22"/>
          <w:szCs w:val="22"/>
          <w:lang w:eastAsia="en-US"/>
        </w:rPr>
        <w:t xml:space="preserve"> Některé z</w:t>
      </w:r>
      <w:r w:rsidR="00512B41">
        <w:rPr>
          <w:rFonts w:eastAsiaTheme="minorHAnsi" w:cs="Arial"/>
          <w:sz w:val="22"/>
          <w:szCs w:val="22"/>
          <w:lang w:eastAsia="en-US"/>
        </w:rPr>
        <w:t>e</w:t>
      </w:r>
      <w:r>
        <w:rPr>
          <w:rFonts w:eastAsiaTheme="minorHAnsi" w:cs="Arial"/>
          <w:sz w:val="22"/>
          <w:szCs w:val="22"/>
          <w:lang w:eastAsia="en-US"/>
        </w:rPr>
        <w:t> sporů lze označit jako obstrukční</w:t>
      </w:r>
      <w:r w:rsidR="00685E44">
        <w:rPr>
          <w:rFonts w:eastAsiaTheme="minorHAnsi" w:cs="Arial"/>
          <w:sz w:val="22"/>
          <w:szCs w:val="22"/>
          <w:lang w:eastAsia="en-US"/>
        </w:rPr>
        <w:t>.</w:t>
      </w:r>
      <w:r w:rsidR="00C34BB3">
        <w:rPr>
          <w:rFonts w:eastAsiaTheme="minorHAnsi" w:cs="Arial"/>
          <w:sz w:val="22"/>
          <w:szCs w:val="22"/>
          <w:lang w:eastAsia="en-US"/>
        </w:rPr>
        <w:t xml:space="preserve"> ŘO IOP aktuálně eviduje třicet sedm výběrových řízení </w:t>
      </w:r>
      <w:r w:rsidR="003005B2">
        <w:rPr>
          <w:rFonts w:eastAsiaTheme="minorHAnsi" w:cs="Arial"/>
          <w:sz w:val="22"/>
          <w:szCs w:val="22"/>
          <w:lang w:eastAsia="en-US"/>
        </w:rPr>
        <w:t xml:space="preserve">řešených </w:t>
      </w:r>
      <w:r w:rsidR="00C34BB3">
        <w:rPr>
          <w:rFonts w:eastAsiaTheme="minorHAnsi" w:cs="Arial"/>
          <w:sz w:val="22"/>
          <w:szCs w:val="22"/>
          <w:lang w:eastAsia="en-US"/>
        </w:rPr>
        <w:t xml:space="preserve">ze strany ÚOHS. </w:t>
      </w:r>
    </w:p>
    <w:p w:rsidR="00A97BD8" w:rsidRDefault="00A97BD8" w:rsidP="00404FB0">
      <w:pPr>
        <w:pStyle w:val="Nadpis3"/>
        <w:ind w:firstLine="709"/>
        <w:rPr>
          <w:rStyle w:val="Zvraznn"/>
        </w:rPr>
      </w:pPr>
      <w:r w:rsidRPr="00A97BD8">
        <w:rPr>
          <w:rStyle w:val="Zvraznn"/>
        </w:rPr>
        <w:t>Opatření</w:t>
      </w:r>
    </w:p>
    <w:p w:rsidR="0065671B" w:rsidRPr="005C05A2" w:rsidRDefault="004108E1" w:rsidP="005C05A2">
      <w:pPr>
        <w:spacing w:line="276" w:lineRule="auto"/>
        <w:jc w:val="both"/>
        <w:rPr>
          <w:rFonts w:eastAsiaTheme="minorHAnsi" w:cs="Arial"/>
          <w:i/>
          <w:iCs/>
          <w:sz w:val="22"/>
          <w:szCs w:val="22"/>
          <w:lang w:eastAsia="en-US"/>
        </w:rPr>
      </w:pPr>
      <w:r w:rsidRPr="005C05A2">
        <w:rPr>
          <w:rFonts w:eastAsiaTheme="minorHAnsi" w:cs="Arial"/>
          <w:sz w:val="22"/>
          <w:szCs w:val="22"/>
          <w:lang w:eastAsia="en-US"/>
        </w:rPr>
        <w:t>Riziko vyplývá z legislativních postupů při vyhlašování veřejných zakázek</w:t>
      </w:r>
      <w:r w:rsidR="00F337C1" w:rsidRPr="005C05A2">
        <w:rPr>
          <w:rFonts w:eastAsiaTheme="minorHAnsi" w:cs="Arial"/>
          <w:sz w:val="22"/>
          <w:szCs w:val="22"/>
          <w:lang w:eastAsia="en-US"/>
        </w:rPr>
        <w:t xml:space="preserve"> a</w:t>
      </w:r>
      <w:r w:rsidRPr="005C05A2">
        <w:rPr>
          <w:rFonts w:eastAsiaTheme="minorHAnsi" w:cs="Arial"/>
          <w:sz w:val="22"/>
          <w:szCs w:val="22"/>
          <w:lang w:eastAsia="en-US"/>
        </w:rPr>
        <w:t xml:space="preserve"> lze jej </w:t>
      </w:r>
      <w:r w:rsidR="003005B2">
        <w:rPr>
          <w:rFonts w:eastAsiaTheme="minorHAnsi" w:cs="Arial"/>
          <w:sz w:val="22"/>
          <w:szCs w:val="22"/>
          <w:lang w:eastAsia="en-US"/>
        </w:rPr>
        <w:t>minimalizovat</w:t>
      </w:r>
      <w:r w:rsidR="003005B2" w:rsidRPr="005C05A2">
        <w:rPr>
          <w:rFonts w:eastAsiaTheme="minorHAnsi" w:cs="Arial"/>
          <w:sz w:val="22"/>
          <w:szCs w:val="22"/>
          <w:lang w:eastAsia="en-US"/>
        </w:rPr>
        <w:t xml:space="preserve"> </w:t>
      </w:r>
      <w:r w:rsidRPr="005C05A2">
        <w:rPr>
          <w:rFonts w:eastAsiaTheme="minorHAnsi" w:cs="Arial"/>
          <w:sz w:val="22"/>
          <w:szCs w:val="22"/>
          <w:lang w:eastAsia="en-US"/>
        </w:rPr>
        <w:t>velmi pečlivou přípravou veřejné zakázky. V případě správně připravené zadávací dokumentace a dodržení všech zákonných postupů lze dosáhnout minimalizace lhůt, po které ÚOHS bude jednotlivé rozporované kroky přezkoumávat.</w:t>
      </w:r>
      <w:r w:rsidR="00720862" w:rsidRPr="005C05A2">
        <w:rPr>
          <w:rFonts w:eastAsiaTheme="minorHAnsi" w:cs="Arial"/>
          <w:sz w:val="22"/>
          <w:szCs w:val="22"/>
          <w:lang w:eastAsia="en-US"/>
        </w:rPr>
        <w:t xml:space="preserve"> Zlepšení situace lze očekávat od novely zákona o veřejných zakázkách. </w:t>
      </w:r>
      <w:r w:rsidR="00900ACD" w:rsidRPr="005C05A2">
        <w:rPr>
          <w:rFonts w:eastAsiaTheme="minorHAnsi" w:cs="Arial"/>
          <w:sz w:val="22"/>
          <w:szCs w:val="22"/>
          <w:lang w:eastAsia="en-US"/>
        </w:rPr>
        <w:t>ŘO IOP taktéž ohledně probíhajících šetření u projektů spolufinancovaných z</w:t>
      </w:r>
      <w:r w:rsidR="00975ACA" w:rsidRPr="005C05A2">
        <w:rPr>
          <w:rFonts w:eastAsiaTheme="minorHAnsi" w:cs="Arial"/>
          <w:sz w:val="22"/>
          <w:szCs w:val="22"/>
          <w:lang w:eastAsia="en-US"/>
        </w:rPr>
        <w:t> </w:t>
      </w:r>
      <w:r w:rsidR="00900ACD" w:rsidRPr="005C05A2">
        <w:rPr>
          <w:rFonts w:eastAsiaTheme="minorHAnsi" w:cs="Arial"/>
          <w:sz w:val="22"/>
          <w:szCs w:val="22"/>
          <w:lang w:eastAsia="en-US"/>
        </w:rPr>
        <w:t>IOP</w:t>
      </w:r>
      <w:r w:rsidR="00975ACA" w:rsidRPr="005C05A2">
        <w:rPr>
          <w:rFonts w:eastAsiaTheme="minorHAnsi" w:cs="Arial"/>
          <w:sz w:val="22"/>
          <w:szCs w:val="22"/>
          <w:lang w:eastAsia="en-US"/>
        </w:rPr>
        <w:t xml:space="preserve"> </w:t>
      </w:r>
      <w:r w:rsidR="00900ACD" w:rsidRPr="005C05A2">
        <w:rPr>
          <w:rFonts w:eastAsiaTheme="minorHAnsi" w:cs="Arial"/>
          <w:sz w:val="22"/>
          <w:szCs w:val="22"/>
          <w:lang w:eastAsia="en-US"/>
        </w:rPr>
        <w:t>komunikuje s ÚOHS.</w:t>
      </w:r>
    </w:p>
    <w:p w:rsidR="00C21DE0" w:rsidRPr="006A62AB" w:rsidRDefault="006A62AB" w:rsidP="006A62AB">
      <w:pPr>
        <w:pStyle w:val="Nadpis3"/>
        <w:numPr>
          <w:ilvl w:val="0"/>
          <w:numId w:val="4"/>
        </w:numPr>
        <w:rPr>
          <w:rFonts w:eastAsiaTheme="minorHAnsi"/>
          <w:i/>
          <w:iCs/>
          <w:lang w:eastAsia="en-US"/>
        </w:rPr>
      </w:pPr>
      <w:r>
        <w:rPr>
          <w:rFonts w:eastAsiaTheme="minorHAnsi"/>
          <w:i/>
          <w:iCs/>
          <w:lang w:eastAsia="en-US"/>
        </w:rPr>
        <w:t xml:space="preserve">     </w:t>
      </w:r>
      <w:r w:rsidR="000B70D7" w:rsidRPr="006A62AB">
        <w:rPr>
          <w:rFonts w:eastAsiaTheme="minorHAnsi"/>
          <w:i/>
          <w:iCs/>
          <w:lang w:eastAsia="en-US"/>
        </w:rPr>
        <w:t xml:space="preserve">Realizace projektu prostřednictvím </w:t>
      </w:r>
      <w:r w:rsidR="00402CEA" w:rsidRPr="006A62AB">
        <w:rPr>
          <w:rFonts w:eastAsiaTheme="minorHAnsi"/>
          <w:i/>
          <w:iCs/>
          <w:lang w:eastAsia="en-US"/>
        </w:rPr>
        <w:t>dodavatele Česká pošta</w:t>
      </w:r>
      <w:r w:rsidR="00C21DE0" w:rsidRPr="006A62AB">
        <w:rPr>
          <w:rFonts w:eastAsiaTheme="minorHAnsi"/>
          <w:i/>
          <w:iCs/>
          <w:lang w:eastAsia="en-US"/>
        </w:rPr>
        <w:t xml:space="preserve"> o. z. </w:t>
      </w:r>
    </w:p>
    <w:p w:rsidR="00735C0E" w:rsidRDefault="00735C0E" w:rsidP="00FC3AC2">
      <w:pPr>
        <w:spacing w:line="276" w:lineRule="auto"/>
        <w:jc w:val="both"/>
        <w:rPr>
          <w:rFonts w:eastAsiaTheme="minorHAnsi" w:cs="Arial"/>
          <w:sz w:val="22"/>
          <w:szCs w:val="22"/>
          <w:lang w:eastAsia="en-US"/>
        </w:rPr>
      </w:pPr>
    </w:p>
    <w:p w:rsidR="00FC3AC2" w:rsidRPr="00FC3AC2" w:rsidRDefault="00FC3AC2" w:rsidP="00FC3AC2">
      <w:pPr>
        <w:spacing w:line="276" w:lineRule="auto"/>
        <w:jc w:val="both"/>
        <w:rPr>
          <w:rFonts w:eastAsiaTheme="minorHAnsi" w:cs="Arial"/>
          <w:sz w:val="22"/>
          <w:szCs w:val="22"/>
          <w:lang w:eastAsia="en-US"/>
        </w:rPr>
      </w:pPr>
      <w:r w:rsidRPr="00FC3AC2">
        <w:rPr>
          <w:rFonts w:eastAsiaTheme="minorHAnsi" w:cs="Arial"/>
          <w:sz w:val="22"/>
          <w:szCs w:val="22"/>
          <w:lang w:eastAsia="en-US"/>
        </w:rPr>
        <w:t xml:space="preserve">Pro některé projekty resortu </w:t>
      </w:r>
      <w:r w:rsidR="00671CDF">
        <w:rPr>
          <w:rFonts w:eastAsiaTheme="minorHAnsi" w:cs="Arial"/>
          <w:sz w:val="22"/>
          <w:szCs w:val="22"/>
          <w:lang w:eastAsia="en-US"/>
        </w:rPr>
        <w:t>M</w:t>
      </w:r>
      <w:r w:rsidR="00671CDF" w:rsidRPr="00FC3AC2">
        <w:rPr>
          <w:rFonts w:eastAsiaTheme="minorHAnsi" w:cs="Arial"/>
          <w:sz w:val="22"/>
          <w:szCs w:val="22"/>
          <w:lang w:eastAsia="en-US"/>
        </w:rPr>
        <w:t xml:space="preserve">inisterstva </w:t>
      </w:r>
      <w:r w:rsidRPr="00FC3AC2">
        <w:rPr>
          <w:rFonts w:eastAsiaTheme="minorHAnsi" w:cs="Arial"/>
          <w:sz w:val="22"/>
          <w:szCs w:val="22"/>
          <w:lang w:eastAsia="en-US"/>
        </w:rPr>
        <w:t>vnitra byl v oblasti IT na základě výjimky podle§ 18 zákona o veřejných zakázkách vybrán jako dodavatel Česká pošta s.p., Odštěpný závod ICT</w:t>
      </w:r>
      <w:r w:rsidR="004E0190">
        <w:rPr>
          <w:rFonts w:eastAsiaTheme="minorHAnsi" w:cs="Arial"/>
          <w:sz w:val="22"/>
          <w:szCs w:val="22"/>
          <w:lang w:eastAsia="en-US"/>
        </w:rPr>
        <w:t xml:space="preserve"> služby</w:t>
      </w:r>
      <w:r w:rsidRPr="00FC3AC2">
        <w:rPr>
          <w:rFonts w:eastAsiaTheme="minorHAnsi" w:cs="Arial"/>
          <w:sz w:val="22"/>
          <w:szCs w:val="22"/>
          <w:lang w:eastAsia="en-US"/>
        </w:rPr>
        <w:t xml:space="preserve"> (dále ČP OZ). ČP OZ do té doby nepůsobil jako veřejný zadavatel a neměl potřebné zkušenosti při realizaci veřejných zakázek. Během realizace došlo k několika změnám vedení. Zpoždění při realizaci veřejných zakázek </w:t>
      </w:r>
      <w:r w:rsidR="005C05A2">
        <w:rPr>
          <w:rFonts w:eastAsiaTheme="minorHAnsi" w:cs="Arial"/>
          <w:sz w:val="22"/>
          <w:szCs w:val="22"/>
          <w:lang w:eastAsia="en-US"/>
        </w:rPr>
        <w:t xml:space="preserve">výrazným </w:t>
      </w:r>
      <w:r w:rsidRPr="00FC3AC2">
        <w:rPr>
          <w:rFonts w:eastAsiaTheme="minorHAnsi" w:cs="Arial"/>
          <w:sz w:val="22"/>
          <w:szCs w:val="22"/>
          <w:lang w:eastAsia="en-US"/>
        </w:rPr>
        <w:t xml:space="preserve">způsobem ohrožuje realizaci projektů, kde je ČP OZ </w:t>
      </w:r>
      <w:r w:rsidR="00671CDF">
        <w:rPr>
          <w:rFonts w:eastAsiaTheme="minorHAnsi" w:cs="Arial"/>
          <w:sz w:val="22"/>
          <w:szCs w:val="22"/>
          <w:lang w:eastAsia="en-US"/>
        </w:rPr>
        <w:t xml:space="preserve">generálním </w:t>
      </w:r>
      <w:r w:rsidRPr="00FC3AC2">
        <w:rPr>
          <w:rFonts w:eastAsiaTheme="minorHAnsi" w:cs="Arial"/>
          <w:sz w:val="22"/>
          <w:szCs w:val="22"/>
          <w:lang w:eastAsia="en-US"/>
        </w:rPr>
        <w:t>dodavatelem</w:t>
      </w:r>
      <w:r w:rsidR="005C05A2">
        <w:rPr>
          <w:rFonts w:eastAsiaTheme="minorHAnsi" w:cs="Arial"/>
          <w:sz w:val="22"/>
          <w:szCs w:val="22"/>
          <w:lang w:eastAsia="en-US"/>
        </w:rPr>
        <w:t xml:space="preserve">, ale je rizikem </w:t>
      </w:r>
      <w:r w:rsidR="00825F82">
        <w:rPr>
          <w:rFonts w:eastAsiaTheme="minorHAnsi" w:cs="Arial"/>
          <w:sz w:val="22"/>
          <w:szCs w:val="22"/>
          <w:lang w:eastAsia="en-US"/>
        </w:rPr>
        <w:t xml:space="preserve">především s ohledem na </w:t>
      </w:r>
      <w:r w:rsidR="00825F82">
        <w:rPr>
          <w:rFonts w:eastAsiaTheme="minorHAnsi" w:cs="Arial"/>
          <w:sz w:val="22"/>
          <w:szCs w:val="22"/>
          <w:lang w:eastAsia="en-US"/>
        </w:rPr>
        <w:lastRenderedPageBreak/>
        <w:t xml:space="preserve">počet a objem navazujících </w:t>
      </w:r>
      <w:r w:rsidR="004E0190">
        <w:rPr>
          <w:rFonts w:eastAsiaTheme="minorHAnsi" w:cs="Arial"/>
          <w:sz w:val="22"/>
          <w:szCs w:val="22"/>
          <w:lang w:eastAsia="en-US"/>
        </w:rPr>
        <w:t xml:space="preserve">projektů </w:t>
      </w:r>
      <w:r w:rsidR="00825F82">
        <w:rPr>
          <w:rFonts w:eastAsiaTheme="minorHAnsi" w:cs="Arial"/>
          <w:sz w:val="22"/>
          <w:szCs w:val="22"/>
          <w:lang w:eastAsia="en-US"/>
        </w:rPr>
        <w:t>v hodnotě 1,7 mld. Kč</w:t>
      </w:r>
      <w:r w:rsidR="00881466">
        <w:rPr>
          <w:rFonts w:eastAsiaTheme="minorHAnsi" w:cs="Arial"/>
          <w:sz w:val="22"/>
          <w:szCs w:val="22"/>
          <w:lang w:eastAsia="en-US"/>
        </w:rPr>
        <w:t xml:space="preserve">, které se na centrální řešení </w:t>
      </w:r>
      <w:r w:rsidR="005C05A2">
        <w:rPr>
          <w:rFonts w:eastAsiaTheme="minorHAnsi" w:cs="Arial"/>
          <w:sz w:val="22"/>
          <w:szCs w:val="22"/>
          <w:lang w:eastAsia="en-US"/>
        </w:rPr>
        <w:t xml:space="preserve">musí </w:t>
      </w:r>
      <w:r w:rsidR="00881466">
        <w:rPr>
          <w:rFonts w:eastAsiaTheme="minorHAnsi" w:cs="Arial"/>
          <w:sz w:val="22"/>
          <w:szCs w:val="22"/>
          <w:lang w:eastAsia="en-US"/>
        </w:rPr>
        <w:t>napoj</w:t>
      </w:r>
      <w:r w:rsidR="005C05A2">
        <w:rPr>
          <w:rFonts w:eastAsiaTheme="minorHAnsi" w:cs="Arial"/>
          <w:sz w:val="22"/>
          <w:szCs w:val="22"/>
          <w:lang w:eastAsia="en-US"/>
        </w:rPr>
        <w:t>it</w:t>
      </w:r>
      <w:r w:rsidR="00881466">
        <w:rPr>
          <w:rFonts w:eastAsiaTheme="minorHAnsi" w:cs="Arial"/>
          <w:sz w:val="22"/>
          <w:szCs w:val="22"/>
          <w:lang w:eastAsia="en-US"/>
        </w:rPr>
        <w:t>.</w:t>
      </w:r>
    </w:p>
    <w:p w:rsidR="00735C0E" w:rsidRDefault="00735C0E" w:rsidP="00FC3AC2">
      <w:pPr>
        <w:spacing w:line="276" w:lineRule="auto"/>
        <w:jc w:val="both"/>
        <w:rPr>
          <w:rFonts w:eastAsiaTheme="minorHAnsi" w:cs="Arial"/>
          <w:sz w:val="22"/>
          <w:szCs w:val="22"/>
          <w:lang w:eastAsia="en-US"/>
        </w:rPr>
      </w:pPr>
    </w:p>
    <w:p w:rsidR="00FC3AC2" w:rsidRPr="00735C0E" w:rsidRDefault="00FC3AC2" w:rsidP="00735C0E">
      <w:pPr>
        <w:spacing w:line="276" w:lineRule="auto"/>
        <w:ind w:firstLine="709"/>
        <w:jc w:val="both"/>
        <w:rPr>
          <w:rFonts w:eastAsiaTheme="minorHAnsi" w:cs="Arial"/>
          <w:b/>
          <w:i/>
          <w:lang w:eastAsia="en-US"/>
        </w:rPr>
      </w:pPr>
      <w:r w:rsidRPr="00735C0E">
        <w:rPr>
          <w:rFonts w:eastAsiaTheme="minorHAnsi" w:cs="Arial"/>
          <w:b/>
          <w:i/>
          <w:lang w:eastAsia="en-US"/>
        </w:rPr>
        <w:t>Opatření</w:t>
      </w:r>
    </w:p>
    <w:p w:rsidR="00FC3AC2" w:rsidRDefault="00FC3AC2" w:rsidP="00FC3AC2">
      <w:pPr>
        <w:spacing w:line="276" w:lineRule="auto"/>
        <w:jc w:val="both"/>
        <w:rPr>
          <w:rFonts w:eastAsiaTheme="minorHAnsi" w:cs="Arial"/>
          <w:sz w:val="22"/>
          <w:szCs w:val="22"/>
          <w:lang w:eastAsia="en-US"/>
        </w:rPr>
      </w:pPr>
      <w:r w:rsidRPr="00FC3AC2">
        <w:rPr>
          <w:rFonts w:eastAsiaTheme="minorHAnsi" w:cs="Arial"/>
          <w:sz w:val="22"/>
          <w:szCs w:val="22"/>
          <w:lang w:eastAsia="en-US"/>
        </w:rPr>
        <w:t xml:space="preserve">Výměna dodavatele, který by vzešel z otevřeného výběrového řízení, je z důvodů časové náročnosti nereálná. Vedení MV a GŘ </w:t>
      </w:r>
      <w:r w:rsidR="00735C0E" w:rsidRPr="00FC3AC2">
        <w:rPr>
          <w:rFonts w:eastAsiaTheme="minorHAnsi" w:cs="Arial"/>
          <w:sz w:val="22"/>
          <w:szCs w:val="22"/>
          <w:lang w:eastAsia="en-US"/>
        </w:rPr>
        <w:t>HZS připravilo</w:t>
      </w:r>
      <w:r w:rsidRPr="00FC3AC2">
        <w:rPr>
          <w:rFonts w:eastAsiaTheme="minorHAnsi" w:cs="Arial"/>
          <w:sz w:val="22"/>
          <w:szCs w:val="22"/>
          <w:lang w:eastAsia="en-US"/>
        </w:rPr>
        <w:t xml:space="preserve"> a schválilo tzv. </w:t>
      </w:r>
      <w:r w:rsidR="00825F82">
        <w:rPr>
          <w:rFonts w:eastAsiaTheme="minorHAnsi" w:cs="Arial"/>
          <w:sz w:val="22"/>
          <w:szCs w:val="22"/>
          <w:lang w:eastAsia="en-US"/>
        </w:rPr>
        <w:t>h</w:t>
      </w:r>
      <w:r w:rsidRPr="00FC3AC2">
        <w:rPr>
          <w:rFonts w:eastAsiaTheme="minorHAnsi" w:cs="Arial"/>
          <w:sz w:val="22"/>
          <w:szCs w:val="22"/>
          <w:lang w:eastAsia="en-US"/>
        </w:rPr>
        <w:t>ybridní variantu řešení projektu Národní Informační Systém Integrovaného Záchranného Systému. Tato varianta umožní realizaci projektu v termínu tak, aby mohly být dokončeny i další navazující projekty, za předpokladu úspěšného dokončení všech veřejných zakázek ČP OZ</w:t>
      </w:r>
      <w:r w:rsidR="00760C71">
        <w:rPr>
          <w:rFonts w:eastAsiaTheme="minorHAnsi" w:cs="Arial"/>
          <w:sz w:val="22"/>
          <w:szCs w:val="22"/>
          <w:lang w:eastAsia="en-US"/>
        </w:rPr>
        <w:t xml:space="preserve"> a dodání díla včas</w:t>
      </w:r>
      <w:r w:rsidRPr="00FC3AC2">
        <w:rPr>
          <w:rFonts w:eastAsiaTheme="minorHAnsi" w:cs="Arial"/>
          <w:sz w:val="22"/>
          <w:szCs w:val="22"/>
          <w:lang w:eastAsia="en-US"/>
        </w:rPr>
        <w:t>.</w:t>
      </w:r>
      <w:r w:rsidR="005D6B9D">
        <w:rPr>
          <w:rFonts w:eastAsiaTheme="minorHAnsi" w:cs="Arial"/>
          <w:sz w:val="22"/>
          <w:szCs w:val="22"/>
          <w:lang w:eastAsia="en-US"/>
        </w:rPr>
        <w:t xml:space="preserve"> Na základě usnesení vlády ČR č. 124</w:t>
      </w:r>
      <w:r w:rsidR="00FC2E4B">
        <w:rPr>
          <w:rFonts w:eastAsiaTheme="minorHAnsi" w:cs="Arial"/>
          <w:sz w:val="22"/>
          <w:szCs w:val="22"/>
          <w:lang w:eastAsia="en-US"/>
        </w:rPr>
        <w:t xml:space="preserve"> z 23. února 2015</w:t>
      </w:r>
      <w:r w:rsidR="007255C7">
        <w:rPr>
          <w:rFonts w:eastAsiaTheme="minorHAnsi" w:cs="Arial"/>
          <w:sz w:val="22"/>
          <w:szCs w:val="22"/>
          <w:lang w:eastAsia="en-US"/>
        </w:rPr>
        <w:t xml:space="preserve"> </w:t>
      </w:r>
      <w:r w:rsidR="005D6B9D">
        <w:rPr>
          <w:rFonts w:eastAsiaTheme="minorHAnsi" w:cs="Arial"/>
          <w:sz w:val="22"/>
          <w:szCs w:val="22"/>
          <w:lang w:eastAsia="en-US"/>
        </w:rPr>
        <w:t xml:space="preserve">je každý měsíc předkládán ministerstvem vnitra </w:t>
      </w:r>
      <w:r w:rsidR="00FC2E4B">
        <w:rPr>
          <w:rFonts w:eastAsiaTheme="minorHAnsi" w:cs="Arial"/>
          <w:sz w:val="22"/>
          <w:szCs w:val="22"/>
          <w:lang w:eastAsia="en-US"/>
        </w:rPr>
        <w:t>zpráva</w:t>
      </w:r>
      <w:r w:rsidR="005D6B9D">
        <w:rPr>
          <w:rFonts w:eastAsiaTheme="minorHAnsi" w:cs="Arial"/>
          <w:sz w:val="22"/>
          <w:szCs w:val="22"/>
          <w:lang w:eastAsia="en-US"/>
        </w:rPr>
        <w:t xml:space="preserve"> o pokroku v projektech České</w:t>
      </w:r>
      <w:r w:rsidR="005D6B9D" w:rsidRPr="005D6B9D">
        <w:rPr>
          <w:rFonts w:eastAsiaTheme="minorHAnsi" w:cs="Arial"/>
          <w:sz w:val="22"/>
          <w:szCs w:val="22"/>
          <w:lang w:eastAsia="en-US"/>
        </w:rPr>
        <w:t xml:space="preserve"> pošt</w:t>
      </w:r>
      <w:r w:rsidR="005D6B9D">
        <w:rPr>
          <w:rFonts w:eastAsiaTheme="minorHAnsi" w:cs="Arial"/>
          <w:sz w:val="22"/>
          <w:szCs w:val="22"/>
          <w:lang w:eastAsia="en-US"/>
        </w:rPr>
        <w:t>y</w:t>
      </w:r>
      <w:r w:rsidR="005D6B9D" w:rsidRPr="005D6B9D">
        <w:rPr>
          <w:rFonts w:eastAsiaTheme="minorHAnsi" w:cs="Arial"/>
          <w:sz w:val="22"/>
          <w:szCs w:val="22"/>
          <w:lang w:eastAsia="en-US"/>
        </w:rPr>
        <w:t xml:space="preserve"> o. z. </w:t>
      </w:r>
      <w:r w:rsidR="009041E1">
        <w:rPr>
          <w:rFonts w:eastAsiaTheme="minorHAnsi" w:cs="Arial"/>
          <w:sz w:val="22"/>
          <w:szCs w:val="22"/>
          <w:lang w:eastAsia="en-US"/>
        </w:rPr>
        <w:t xml:space="preserve"> </w:t>
      </w:r>
      <w:r w:rsidR="00760C71">
        <w:rPr>
          <w:rFonts w:eastAsiaTheme="minorHAnsi" w:cs="Arial"/>
          <w:sz w:val="22"/>
          <w:szCs w:val="22"/>
          <w:lang w:eastAsia="en-US"/>
        </w:rPr>
        <w:t>Dne 17. 6. 2015</w:t>
      </w:r>
      <w:r w:rsidR="009041E1">
        <w:rPr>
          <w:rFonts w:eastAsiaTheme="minorHAnsi" w:cs="Arial"/>
          <w:sz w:val="22"/>
          <w:szCs w:val="22"/>
          <w:lang w:eastAsia="en-US"/>
        </w:rPr>
        <w:t xml:space="preserve"> </w:t>
      </w:r>
      <w:r w:rsidR="00760C71">
        <w:rPr>
          <w:rFonts w:eastAsiaTheme="minorHAnsi" w:cs="Arial"/>
          <w:sz w:val="22"/>
          <w:szCs w:val="22"/>
          <w:lang w:eastAsia="en-US"/>
        </w:rPr>
        <w:t xml:space="preserve">proběhlo další </w:t>
      </w:r>
      <w:r w:rsidR="009041E1">
        <w:rPr>
          <w:rFonts w:eastAsiaTheme="minorHAnsi" w:cs="Arial"/>
          <w:sz w:val="22"/>
          <w:szCs w:val="22"/>
          <w:lang w:eastAsia="en-US"/>
        </w:rPr>
        <w:t>jednání na úrovni náměstků zainteresovaných resortů, které prověř</w:t>
      </w:r>
      <w:r w:rsidR="00760C71">
        <w:rPr>
          <w:rFonts w:eastAsiaTheme="minorHAnsi" w:cs="Arial"/>
          <w:sz w:val="22"/>
          <w:szCs w:val="22"/>
          <w:lang w:eastAsia="en-US"/>
        </w:rPr>
        <w:t>ilo</w:t>
      </w:r>
      <w:r w:rsidR="009041E1">
        <w:rPr>
          <w:rFonts w:eastAsiaTheme="minorHAnsi" w:cs="Arial"/>
          <w:sz w:val="22"/>
          <w:szCs w:val="22"/>
          <w:lang w:eastAsia="en-US"/>
        </w:rPr>
        <w:t xml:space="preserve"> aktuální situaci a dodržování harmonogramu.</w:t>
      </w:r>
    </w:p>
    <w:p w:rsidR="00777064" w:rsidRDefault="00777064" w:rsidP="000F4C4A">
      <w:pPr>
        <w:spacing w:line="276" w:lineRule="auto"/>
        <w:jc w:val="both"/>
        <w:rPr>
          <w:rFonts w:eastAsiaTheme="minorHAnsi" w:cs="Arial"/>
          <w:color w:val="FF0000"/>
          <w:sz w:val="22"/>
          <w:szCs w:val="22"/>
          <w:lang w:eastAsia="en-US"/>
        </w:rPr>
      </w:pPr>
    </w:p>
    <w:p w:rsidR="000F4C4A" w:rsidRPr="00111D78" w:rsidRDefault="000F4C4A" w:rsidP="00111D78">
      <w:pPr>
        <w:pStyle w:val="Nadpis2"/>
        <w:numPr>
          <w:ilvl w:val="0"/>
          <w:numId w:val="3"/>
        </w:numPr>
      </w:pPr>
      <w:r w:rsidRPr="00111D78">
        <w:t xml:space="preserve">Spící </w:t>
      </w:r>
      <w:r w:rsidR="00E854F8">
        <w:t xml:space="preserve">a vysoce rizikové </w:t>
      </w:r>
      <w:r w:rsidRPr="00111D78">
        <w:t xml:space="preserve">projekty podle </w:t>
      </w:r>
      <w:r w:rsidR="00BF7D7B">
        <w:t>resortů</w:t>
      </w:r>
    </w:p>
    <w:p w:rsidR="00743E35" w:rsidRDefault="00743E35" w:rsidP="00743E35">
      <w:pPr>
        <w:pStyle w:val="Nadpis3"/>
        <w:rPr>
          <w:sz w:val="22"/>
          <w:szCs w:val="22"/>
        </w:rPr>
      </w:pPr>
      <w:r w:rsidRPr="00251887">
        <w:rPr>
          <w:sz w:val="22"/>
          <w:szCs w:val="22"/>
        </w:rPr>
        <w:t>Ministerstvo vnitra</w:t>
      </w:r>
    </w:p>
    <w:p w:rsidR="00770E9F" w:rsidRPr="00770E9F" w:rsidRDefault="00770E9F" w:rsidP="00770E9F">
      <w:pPr>
        <w:spacing w:line="276" w:lineRule="auto"/>
        <w:jc w:val="both"/>
        <w:rPr>
          <w:sz w:val="22"/>
          <w:szCs w:val="22"/>
        </w:rPr>
      </w:pPr>
    </w:p>
    <w:p w:rsidR="00946014" w:rsidRDefault="00770E9F" w:rsidP="003073F1">
      <w:pPr>
        <w:spacing w:line="276" w:lineRule="auto"/>
        <w:jc w:val="both"/>
        <w:rPr>
          <w:rFonts w:eastAsiaTheme="minorHAnsi" w:cs="Arial"/>
          <w:b/>
          <w:sz w:val="22"/>
          <w:szCs w:val="22"/>
          <w:lang w:eastAsia="en-US"/>
        </w:rPr>
      </w:pPr>
      <w:r w:rsidRPr="00770E9F">
        <w:rPr>
          <w:sz w:val="22"/>
          <w:szCs w:val="22"/>
        </w:rPr>
        <w:t xml:space="preserve">Aktuálně se jeví jako nejvíce rizikové projekty </w:t>
      </w:r>
      <w:r w:rsidR="00760C71">
        <w:rPr>
          <w:sz w:val="22"/>
          <w:szCs w:val="22"/>
        </w:rPr>
        <w:t>M</w:t>
      </w:r>
      <w:r w:rsidRPr="00770E9F">
        <w:rPr>
          <w:sz w:val="22"/>
          <w:szCs w:val="22"/>
        </w:rPr>
        <w:t>inisterstva vnitra. Přes veškerá opatření na úrovni vedení resortů, či vlády ČR nelze konstatov</w:t>
      </w:r>
      <w:r w:rsidR="00760C71">
        <w:rPr>
          <w:sz w:val="22"/>
          <w:szCs w:val="22"/>
        </w:rPr>
        <w:t>at, že se situace výrazně zlepšila</w:t>
      </w:r>
      <w:r w:rsidRPr="00770E9F">
        <w:rPr>
          <w:sz w:val="22"/>
          <w:szCs w:val="22"/>
        </w:rPr>
        <w:t>. Vzhledem k tomu je nutné přijmout okamžitá řešení na úrovni vedení příslušných organizačních složek státu. Je nutné vyvíjet maximální úsilí k dodržení stanovených harmonogramů realizace projektů a není možné posouvat termíny jejich dokončení, především u dodavatele projektů České pošty, s.p. Odštěpného závodu ICT. To se týká zejména projektů</w:t>
      </w:r>
      <w:r w:rsidR="00671CDF">
        <w:rPr>
          <w:sz w:val="22"/>
          <w:szCs w:val="22"/>
        </w:rPr>
        <w:t>:</w:t>
      </w:r>
      <w:r w:rsidRPr="00770E9F">
        <w:rPr>
          <w:sz w:val="22"/>
          <w:szCs w:val="22"/>
        </w:rPr>
        <w:t xml:space="preserve"> </w:t>
      </w:r>
      <w:r w:rsidR="00671CDF">
        <w:rPr>
          <w:sz w:val="22"/>
          <w:szCs w:val="22"/>
        </w:rPr>
        <w:t xml:space="preserve">Projekt </w:t>
      </w:r>
      <w:r w:rsidRPr="00770E9F">
        <w:rPr>
          <w:sz w:val="22"/>
          <w:szCs w:val="22"/>
        </w:rPr>
        <w:t>Centrální místo Služeb - Komunikační infrastruktura Informačních systémů veřejné správy, Zajištění infrastruktury pro operační střediska základních složek IZS a Národní informační systém integrovaného záchranného systému a na něj navázaných projektů krajských hasičských záchranných sborů. U projektu Úprava evidence obyvatel a</w:t>
      </w:r>
      <w:r w:rsidR="003017C3">
        <w:rPr>
          <w:sz w:val="22"/>
          <w:szCs w:val="22"/>
        </w:rPr>
        <w:t> </w:t>
      </w:r>
      <w:r w:rsidRPr="00770E9F">
        <w:rPr>
          <w:sz w:val="22"/>
          <w:szCs w:val="22"/>
        </w:rPr>
        <w:t xml:space="preserve"> vytvoření relevantního datového fondu pro ROB je vysoká rizikovost z důvodů vysoké technologické náročnosti a tím způsobené</w:t>
      </w:r>
      <w:r w:rsidR="00671CDF">
        <w:rPr>
          <w:sz w:val="22"/>
          <w:szCs w:val="22"/>
        </w:rPr>
        <w:t>ho</w:t>
      </w:r>
      <w:r w:rsidRPr="00770E9F">
        <w:rPr>
          <w:sz w:val="22"/>
          <w:szCs w:val="22"/>
        </w:rPr>
        <w:t xml:space="preserve"> neplnění harmonogramu. Projekty Policejního prezidia ČR a krajských ředitelství Policie ČR v oblasti intervence 1.1 jsou rizikové a vysoce rizikové z důvodů náročnosti realizace veřejných zakázek. Zpoždění veřejných zakázek bude znamenat výrazné ohrožení plnění harmonogramu projektů. Do kategorie vysoce rizikových projektů nově spadají projekty v oblasti intervence 3.4 ve 12. a 18. výzvě. Jedná se o</w:t>
      </w:r>
      <w:r w:rsidR="003017C3">
        <w:rPr>
          <w:sz w:val="22"/>
          <w:szCs w:val="22"/>
        </w:rPr>
        <w:t> </w:t>
      </w:r>
      <w:r w:rsidRPr="00770E9F">
        <w:rPr>
          <w:sz w:val="22"/>
          <w:szCs w:val="22"/>
        </w:rPr>
        <w:t xml:space="preserve"> projekty pořízení Lokalizačních a záznamových zařízení Policie ČR a Moderní technologie Policie ČR a Hasičského záchranného sboru ČR. Tyto projekty jsou vysoce rizikové z</w:t>
      </w:r>
      <w:r w:rsidR="003017C3">
        <w:rPr>
          <w:sz w:val="22"/>
          <w:szCs w:val="22"/>
        </w:rPr>
        <w:t> </w:t>
      </w:r>
      <w:r w:rsidRPr="00770E9F">
        <w:rPr>
          <w:sz w:val="22"/>
          <w:szCs w:val="22"/>
        </w:rPr>
        <w:t xml:space="preserve"> hlediska </w:t>
      </w:r>
      <w:r w:rsidR="00760C71">
        <w:rPr>
          <w:sz w:val="22"/>
          <w:szCs w:val="22"/>
        </w:rPr>
        <w:t xml:space="preserve">komplikací u </w:t>
      </w:r>
      <w:r w:rsidRPr="00770E9F">
        <w:rPr>
          <w:sz w:val="22"/>
          <w:szCs w:val="22"/>
        </w:rPr>
        <w:t xml:space="preserve">veřejných zakázek a následně pak možného posunu konce realizace projektů.  </w:t>
      </w:r>
    </w:p>
    <w:p w:rsidR="003176B7" w:rsidRDefault="003176B7" w:rsidP="003073F1">
      <w:pPr>
        <w:spacing w:line="276" w:lineRule="auto"/>
        <w:jc w:val="both"/>
        <w:rPr>
          <w:rFonts w:eastAsiaTheme="minorHAnsi" w:cs="Arial"/>
          <w:b/>
          <w:sz w:val="22"/>
          <w:szCs w:val="22"/>
          <w:lang w:eastAsia="en-US"/>
        </w:rPr>
      </w:pPr>
    </w:p>
    <w:p w:rsidR="00173C12" w:rsidRDefault="00173C12" w:rsidP="003073F1">
      <w:pPr>
        <w:spacing w:line="276" w:lineRule="auto"/>
        <w:jc w:val="both"/>
        <w:rPr>
          <w:rFonts w:eastAsiaTheme="minorHAnsi" w:cs="Arial"/>
          <w:b/>
          <w:sz w:val="22"/>
          <w:szCs w:val="22"/>
          <w:lang w:eastAsia="en-US"/>
        </w:rPr>
      </w:pPr>
      <w:r>
        <w:rPr>
          <w:rFonts w:eastAsiaTheme="minorHAnsi" w:cs="Arial"/>
          <w:b/>
          <w:sz w:val="22"/>
          <w:szCs w:val="22"/>
          <w:lang w:eastAsia="en-US"/>
        </w:rPr>
        <w:t>Ministerstvo spravedlnosti</w:t>
      </w:r>
    </w:p>
    <w:p w:rsidR="00173C12" w:rsidRDefault="00173C12" w:rsidP="003073F1">
      <w:pPr>
        <w:spacing w:line="276" w:lineRule="auto"/>
        <w:jc w:val="both"/>
        <w:rPr>
          <w:rFonts w:eastAsiaTheme="minorHAnsi" w:cs="Arial"/>
          <w:b/>
          <w:sz w:val="22"/>
          <w:szCs w:val="22"/>
          <w:lang w:eastAsia="en-US"/>
        </w:rPr>
      </w:pPr>
    </w:p>
    <w:p w:rsidR="006F600C" w:rsidRDefault="006F600C" w:rsidP="003073F1">
      <w:pPr>
        <w:spacing w:line="276" w:lineRule="auto"/>
        <w:jc w:val="both"/>
        <w:rPr>
          <w:rFonts w:eastAsiaTheme="minorHAnsi" w:cs="Arial"/>
          <w:b/>
          <w:sz w:val="22"/>
          <w:szCs w:val="22"/>
          <w:lang w:eastAsia="en-US"/>
        </w:rPr>
      </w:pPr>
      <w:r w:rsidRPr="00735C0E">
        <w:rPr>
          <w:rFonts w:eastAsiaTheme="minorHAnsi" w:cs="Arial"/>
          <w:sz w:val="22"/>
          <w:szCs w:val="22"/>
          <w:lang w:eastAsia="en-US"/>
        </w:rPr>
        <w:t xml:space="preserve">Realizace projektu je zpožděna z důvodu negativní medializace plánované veřejné zakázky a </w:t>
      </w:r>
      <w:r w:rsidR="002F2732">
        <w:rPr>
          <w:rFonts w:eastAsiaTheme="minorHAnsi" w:cs="Arial"/>
          <w:sz w:val="22"/>
          <w:szCs w:val="22"/>
          <w:lang w:eastAsia="en-US"/>
        </w:rPr>
        <w:t xml:space="preserve">z důvodu prodlevy při provádění </w:t>
      </w:r>
      <w:r w:rsidRPr="00735C0E">
        <w:rPr>
          <w:rFonts w:eastAsiaTheme="minorHAnsi" w:cs="Arial"/>
          <w:sz w:val="22"/>
          <w:szCs w:val="22"/>
          <w:lang w:eastAsia="en-US"/>
        </w:rPr>
        <w:t xml:space="preserve">následného interního auditu. </w:t>
      </w:r>
      <w:r w:rsidR="009F3E58">
        <w:rPr>
          <w:rFonts w:eastAsiaTheme="minorHAnsi" w:cs="Arial"/>
          <w:sz w:val="22"/>
          <w:szCs w:val="22"/>
          <w:lang w:eastAsia="en-US"/>
        </w:rPr>
        <w:t>Projekt je evidován jako vysoce rizikový</w:t>
      </w:r>
      <w:r w:rsidR="007058B6">
        <w:rPr>
          <w:rFonts w:eastAsiaTheme="minorHAnsi" w:cs="Arial"/>
          <w:sz w:val="22"/>
          <w:szCs w:val="22"/>
          <w:lang w:eastAsia="en-US"/>
        </w:rPr>
        <w:t>,</w:t>
      </w:r>
      <w:r w:rsidR="009F3E58">
        <w:rPr>
          <w:rFonts w:eastAsiaTheme="minorHAnsi" w:cs="Arial"/>
          <w:sz w:val="22"/>
          <w:szCs w:val="22"/>
          <w:lang w:eastAsia="en-US"/>
        </w:rPr>
        <w:t xml:space="preserve"> </w:t>
      </w:r>
      <w:r w:rsidR="001C4C2F">
        <w:rPr>
          <w:rFonts w:eastAsiaTheme="minorHAnsi" w:cs="Arial"/>
          <w:sz w:val="22"/>
          <w:szCs w:val="22"/>
          <w:lang w:eastAsia="en-US"/>
        </w:rPr>
        <w:t>jelikož</w:t>
      </w:r>
      <w:r w:rsidR="009F3E58">
        <w:rPr>
          <w:rFonts w:eastAsiaTheme="minorHAnsi" w:cs="Arial"/>
          <w:sz w:val="22"/>
          <w:szCs w:val="22"/>
          <w:lang w:eastAsia="en-US"/>
        </w:rPr>
        <w:t xml:space="preserve"> je ohroženo</w:t>
      </w:r>
      <w:r w:rsidR="001C4C2F">
        <w:rPr>
          <w:rFonts w:eastAsiaTheme="minorHAnsi" w:cs="Arial"/>
          <w:sz w:val="22"/>
          <w:szCs w:val="22"/>
          <w:lang w:eastAsia="en-US"/>
        </w:rPr>
        <w:t xml:space="preserve"> </w:t>
      </w:r>
      <w:r>
        <w:rPr>
          <w:rFonts w:eastAsiaTheme="minorHAnsi" w:cs="Arial"/>
          <w:sz w:val="22"/>
          <w:szCs w:val="22"/>
          <w:lang w:eastAsia="en-US"/>
        </w:rPr>
        <w:t xml:space="preserve">dodržení termínu ukončení realizace projektu, které je pro příjemce závazné. </w:t>
      </w:r>
      <w:r w:rsidR="005D6B9D">
        <w:rPr>
          <w:rFonts w:eastAsiaTheme="minorHAnsi" w:cs="Arial"/>
          <w:sz w:val="22"/>
          <w:szCs w:val="22"/>
          <w:lang w:eastAsia="en-US"/>
        </w:rPr>
        <w:t xml:space="preserve"> Aktuálně je ze strany příjemce nastavený harmonogram dodržován. </w:t>
      </w:r>
    </w:p>
    <w:p w:rsidR="00A07C5F" w:rsidRDefault="00A07C5F" w:rsidP="003073F1">
      <w:pPr>
        <w:spacing w:line="276" w:lineRule="auto"/>
        <w:jc w:val="both"/>
        <w:rPr>
          <w:rFonts w:eastAsiaTheme="minorHAnsi" w:cs="Arial"/>
          <w:b/>
          <w:sz w:val="22"/>
          <w:szCs w:val="22"/>
          <w:lang w:eastAsia="en-US"/>
        </w:rPr>
      </w:pPr>
    </w:p>
    <w:p w:rsidR="00B6200C" w:rsidRDefault="00B6200C" w:rsidP="003073F1">
      <w:pPr>
        <w:spacing w:line="276" w:lineRule="auto"/>
        <w:jc w:val="both"/>
        <w:rPr>
          <w:rFonts w:eastAsiaTheme="minorHAnsi" w:cs="Arial"/>
          <w:b/>
          <w:sz w:val="22"/>
          <w:szCs w:val="22"/>
          <w:lang w:eastAsia="en-US"/>
        </w:rPr>
      </w:pPr>
    </w:p>
    <w:p w:rsidR="00703CAA" w:rsidRPr="00E854F8" w:rsidRDefault="00E854F8" w:rsidP="003073F1">
      <w:pPr>
        <w:spacing w:line="276" w:lineRule="auto"/>
        <w:jc w:val="both"/>
        <w:rPr>
          <w:rFonts w:eastAsiaTheme="minorHAnsi" w:cs="Arial"/>
          <w:b/>
          <w:sz w:val="22"/>
          <w:szCs w:val="22"/>
          <w:lang w:eastAsia="en-US"/>
        </w:rPr>
      </w:pPr>
      <w:r w:rsidRPr="00E854F8">
        <w:rPr>
          <w:rFonts w:eastAsiaTheme="minorHAnsi" w:cs="Arial"/>
          <w:b/>
          <w:sz w:val="22"/>
          <w:szCs w:val="22"/>
          <w:lang w:eastAsia="en-US"/>
        </w:rPr>
        <w:t>Ministerstvo práce a sociálních věcí</w:t>
      </w:r>
    </w:p>
    <w:p w:rsidR="00D0386D" w:rsidRDefault="00D0386D" w:rsidP="003073F1">
      <w:pPr>
        <w:spacing w:line="276" w:lineRule="auto"/>
        <w:jc w:val="both"/>
        <w:rPr>
          <w:rFonts w:eastAsiaTheme="minorHAnsi" w:cs="Arial"/>
          <w:sz w:val="22"/>
          <w:szCs w:val="22"/>
          <w:lang w:eastAsia="en-US"/>
        </w:rPr>
      </w:pPr>
    </w:p>
    <w:p w:rsidR="00564A79" w:rsidRDefault="00974811" w:rsidP="003073F1">
      <w:pPr>
        <w:spacing w:line="276" w:lineRule="auto"/>
        <w:jc w:val="both"/>
        <w:rPr>
          <w:rFonts w:eastAsiaTheme="minorHAnsi" w:cs="Arial"/>
          <w:sz w:val="22"/>
          <w:szCs w:val="22"/>
          <w:lang w:eastAsia="en-US"/>
        </w:rPr>
      </w:pPr>
      <w:r>
        <w:rPr>
          <w:rFonts w:eastAsiaTheme="minorHAnsi" w:cs="Arial"/>
          <w:sz w:val="22"/>
          <w:szCs w:val="22"/>
          <w:lang w:eastAsia="en-US"/>
        </w:rPr>
        <w:t xml:space="preserve">U projektů, ve kterých vystupovalo MPSV, či jeho </w:t>
      </w:r>
      <w:r w:rsidR="00760C71">
        <w:rPr>
          <w:rFonts w:eastAsiaTheme="minorHAnsi" w:cs="Arial"/>
          <w:sz w:val="22"/>
          <w:szCs w:val="22"/>
          <w:lang w:eastAsia="en-US"/>
        </w:rPr>
        <w:t>příspěvkové organizace</w:t>
      </w:r>
      <w:r>
        <w:rPr>
          <w:rFonts w:eastAsiaTheme="minorHAnsi" w:cs="Arial"/>
          <w:sz w:val="22"/>
          <w:szCs w:val="22"/>
          <w:lang w:eastAsia="en-US"/>
        </w:rPr>
        <w:t xml:space="preserve"> v roli příjemce</w:t>
      </w:r>
      <w:r w:rsidR="007058B6">
        <w:rPr>
          <w:rFonts w:eastAsiaTheme="minorHAnsi" w:cs="Arial"/>
          <w:sz w:val="22"/>
          <w:szCs w:val="22"/>
          <w:lang w:eastAsia="en-US"/>
        </w:rPr>
        <w:t>,</w:t>
      </w:r>
      <w:r>
        <w:rPr>
          <w:rFonts w:eastAsiaTheme="minorHAnsi" w:cs="Arial"/>
          <w:sz w:val="22"/>
          <w:szCs w:val="22"/>
          <w:lang w:eastAsia="en-US"/>
        </w:rPr>
        <w:t xml:space="preserve"> došlo na základě přijatých opatření</w:t>
      </w:r>
      <w:r w:rsidR="00656DAD">
        <w:rPr>
          <w:rFonts w:eastAsiaTheme="minorHAnsi" w:cs="Arial"/>
          <w:sz w:val="22"/>
          <w:szCs w:val="22"/>
          <w:lang w:eastAsia="en-US"/>
        </w:rPr>
        <w:t xml:space="preserve"> v minulosti</w:t>
      </w:r>
      <w:r>
        <w:rPr>
          <w:rFonts w:eastAsiaTheme="minorHAnsi" w:cs="Arial"/>
          <w:sz w:val="22"/>
          <w:szCs w:val="22"/>
          <w:lang w:eastAsia="en-US"/>
        </w:rPr>
        <w:t xml:space="preserve"> k významnému posunu v realizaci </w:t>
      </w:r>
      <w:r w:rsidR="00735C0E">
        <w:rPr>
          <w:rFonts w:eastAsiaTheme="minorHAnsi" w:cs="Arial"/>
          <w:sz w:val="22"/>
          <w:szCs w:val="22"/>
          <w:lang w:eastAsia="en-US"/>
        </w:rPr>
        <w:t>projektů</w:t>
      </w:r>
      <w:r w:rsidR="00656DAD">
        <w:rPr>
          <w:rFonts w:eastAsiaTheme="minorHAnsi" w:cs="Arial"/>
          <w:sz w:val="22"/>
          <w:szCs w:val="22"/>
          <w:lang w:eastAsia="en-US"/>
        </w:rPr>
        <w:t>. Přesto je však jeden projekt evidován jako vysoce rizikový. Důvodem je negativní postoj Evropské komise k projektu Generálního ředitelství úřadu práce Praha</w:t>
      </w:r>
      <w:r w:rsidR="003D70FD">
        <w:rPr>
          <w:rFonts w:eastAsiaTheme="minorHAnsi" w:cs="Arial"/>
          <w:sz w:val="22"/>
          <w:szCs w:val="22"/>
          <w:lang w:eastAsia="en-US"/>
        </w:rPr>
        <w:t xml:space="preserve"> a probíhající šetření OLAF</w:t>
      </w:r>
      <w:r w:rsidR="00656DAD">
        <w:rPr>
          <w:rFonts w:eastAsiaTheme="minorHAnsi" w:cs="Arial"/>
          <w:sz w:val="22"/>
          <w:szCs w:val="22"/>
          <w:lang w:eastAsia="en-US"/>
        </w:rPr>
        <w:t xml:space="preserve">. Evropská komise nesouhlasí se způsobilostí výdajů projektu </w:t>
      </w:r>
      <w:r w:rsidR="00656DAD" w:rsidRPr="00656DAD">
        <w:rPr>
          <w:rFonts w:eastAsiaTheme="minorHAnsi" w:cs="Arial"/>
          <w:i/>
          <w:sz w:val="22"/>
          <w:szCs w:val="22"/>
          <w:lang w:eastAsia="en-US"/>
        </w:rPr>
        <w:t>Úřad práce ČR Praha – Nákup nemovitosti</w:t>
      </w:r>
      <w:r w:rsidR="00656DAD">
        <w:rPr>
          <w:rFonts w:eastAsiaTheme="minorHAnsi" w:cs="Arial"/>
          <w:i/>
          <w:sz w:val="22"/>
          <w:szCs w:val="22"/>
          <w:lang w:eastAsia="en-US"/>
        </w:rPr>
        <w:t>.</w:t>
      </w:r>
      <w:r>
        <w:rPr>
          <w:rFonts w:eastAsiaTheme="minorHAnsi" w:cs="Arial"/>
          <w:sz w:val="22"/>
          <w:szCs w:val="22"/>
          <w:lang w:eastAsia="en-US"/>
        </w:rPr>
        <w:t xml:space="preserve"> V současné </w:t>
      </w:r>
      <w:r w:rsidR="008F2788">
        <w:rPr>
          <w:rFonts w:eastAsiaTheme="minorHAnsi" w:cs="Arial"/>
          <w:sz w:val="22"/>
          <w:szCs w:val="22"/>
          <w:lang w:eastAsia="en-US"/>
        </w:rPr>
        <w:t>době jsou</w:t>
      </w:r>
      <w:r w:rsidR="00656DAD">
        <w:rPr>
          <w:rFonts w:eastAsiaTheme="minorHAnsi" w:cs="Arial"/>
          <w:sz w:val="22"/>
          <w:szCs w:val="22"/>
          <w:lang w:eastAsia="en-US"/>
        </w:rPr>
        <w:t xml:space="preserve"> také</w:t>
      </w:r>
      <w:r>
        <w:rPr>
          <w:rFonts w:eastAsiaTheme="minorHAnsi" w:cs="Arial"/>
          <w:sz w:val="22"/>
          <w:szCs w:val="22"/>
          <w:lang w:eastAsia="en-US"/>
        </w:rPr>
        <w:t xml:space="preserve"> v</w:t>
      </w:r>
      <w:r w:rsidR="008F2788">
        <w:rPr>
          <w:rFonts w:eastAsiaTheme="minorHAnsi" w:cs="Arial"/>
          <w:sz w:val="22"/>
          <w:szCs w:val="22"/>
          <w:lang w:eastAsia="en-US"/>
        </w:rPr>
        <w:t> </w:t>
      </w:r>
      <w:r>
        <w:rPr>
          <w:rFonts w:eastAsiaTheme="minorHAnsi" w:cs="Arial"/>
          <w:sz w:val="22"/>
          <w:szCs w:val="22"/>
          <w:lang w:eastAsia="en-US"/>
        </w:rPr>
        <w:t>oblasti</w:t>
      </w:r>
      <w:r w:rsidR="008F2788">
        <w:rPr>
          <w:rFonts w:eastAsiaTheme="minorHAnsi" w:cs="Arial"/>
          <w:sz w:val="22"/>
          <w:szCs w:val="22"/>
          <w:lang w:eastAsia="en-US"/>
        </w:rPr>
        <w:t xml:space="preserve"> intervence IOP</w:t>
      </w:r>
      <w:r>
        <w:rPr>
          <w:rFonts w:eastAsiaTheme="minorHAnsi" w:cs="Arial"/>
          <w:sz w:val="22"/>
          <w:szCs w:val="22"/>
          <w:lang w:eastAsia="en-US"/>
        </w:rPr>
        <w:t xml:space="preserve"> 3.1 </w:t>
      </w:r>
      <w:r w:rsidR="008F2788" w:rsidRPr="008F2788">
        <w:rPr>
          <w:rFonts w:eastAsiaTheme="minorHAnsi" w:cs="Arial"/>
          <w:sz w:val="22"/>
          <w:szCs w:val="22"/>
          <w:lang w:eastAsia="en-US"/>
        </w:rPr>
        <w:t xml:space="preserve">Služby v oblasti sociální </w:t>
      </w:r>
      <w:r w:rsidR="00735C0E" w:rsidRPr="008F2788">
        <w:rPr>
          <w:rFonts w:eastAsiaTheme="minorHAnsi" w:cs="Arial"/>
          <w:sz w:val="22"/>
          <w:szCs w:val="22"/>
          <w:lang w:eastAsia="en-US"/>
        </w:rPr>
        <w:t>integrace</w:t>
      </w:r>
      <w:r w:rsidR="007058B6">
        <w:rPr>
          <w:rFonts w:eastAsiaTheme="minorHAnsi" w:cs="Arial"/>
          <w:sz w:val="22"/>
          <w:szCs w:val="22"/>
          <w:lang w:eastAsia="en-US"/>
        </w:rPr>
        <w:t>,</w:t>
      </w:r>
      <w:r w:rsidR="008F2788">
        <w:rPr>
          <w:rFonts w:eastAsiaTheme="minorHAnsi" w:cs="Arial"/>
          <w:sz w:val="22"/>
          <w:szCs w:val="22"/>
          <w:lang w:eastAsia="en-US"/>
        </w:rPr>
        <w:t xml:space="preserve"> u kterého MPSV vystupuje jako zpros</w:t>
      </w:r>
      <w:r w:rsidR="007058B6">
        <w:rPr>
          <w:rFonts w:eastAsiaTheme="minorHAnsi" w:cs="Arial"/>
          <w:sz w:val="22"/>
          <w:szCs w:val="22"/>
          <w:lang w:eastAsia="en-US"/>
        </w:rPr>
        <w:t xml:space="preserve">tředkující subjekt evidovány </w:t>
      </w:r>
      <w:r w:rsidR="00656DAD">
        <w:rPr>
          <w:rFonts w:eastAsiaTheme="minorHAnsi" w:cs="Arial"/>
          <w:sz w:val="22"/>
          <w:szCs w:val="22"/>
          <w:lang w:eastAsia="en-US"/>
        </w:rPr>
        <w:t>2</w:t>
      </w:r>
      <w:r w:rsidR="008F2788">
        <w:rPr>
          <w:rFonts w:eastAsiaTheme="minorHAnsi" w:cs="Arial"/>
          <w:sz w:val="22"/>
          <w:szCs w:val="22"/>
          <w:lang w:eastAsia="en-US"/>
        </w:rPr>
        <w:t xml:space="preserve"> rizikové projekty, u kterých hrozí nedodržení termínu realizace dle nastaveného harmonogramu.</w:t>
      </w:r>
      <w:r w:rsidR="0065671B">
        <w:rPr>
          <w:rFonts w:eastAsiaTheme="minorHAnsi" w:cs="Arial"/>
          <w:sz w:val="22"/>
          <w:szCs w:val="22"/>
          <w:lang w:eastAsia="en-US"/>
        </w:rPr>
        <w:t xml:space="preserve"> </w:t>
      </w:r>
    </w:p>
    <w:p w:rsidR="00656DAD" w:rsidRDefault="00656DAD" w:rsidP="003073F1">
      <w:pPr>
        <w:spacing w:line="276" w:lineRule="auto"/>
        <w:jc w:val="both"/>
        <w:rPr>
          <w:rFonts w:eastAsiaTheme="minorHAnsi" w:cs="Arial"/>
          <w:b/>
          <w:sz w:val="22"/>
          <w:szCs w:val="22"/>
          <w:lang w:eastAsia="en-US"/>
        </w:rPr>
      </w:pPr>
    </w:p>
    <w:p w:rsidR="002751D0" w:rsidRDefault="005D6B9D" w:rsidP="003073F1">
      <w:pPr>
        <w:spacing w:line="276" w:lineRule="auto"/>
        <w:jc w:val="both"/>
        <w:rPr>
          <w:rFonts w:eastAsiaTheme="minorHAnsi" w:cs="Arial"/>
          <w:b/>
          <w:sz w:val="22"/>
          <w:szCs w:val="22"/>
          <w:lang w:eastAsia="en-US"/>
        </w:rPr>
      </w:pPr>
      <w:r>
        <w:rPr>
          <w:rFonts w:eastAsiaTheme="minorHAnsi" w:cs="Arial"/>
          <w:b/>
          <w:sz w:val="22"/>
          <w:szCs w:val="22"/>
          <w:lang w:eastAsia="en-US"/>
        </w:rPr>
        <w:t>Min</w:t>
      </w:r>
      <w:r w:rsidR="00564A79" w:rsidRPr="00735C0E">
        <w:rPr>
          <w:rFonts w:eastAsiaTheme="minorHAnsi" w:cs="Arial"/>
          <w:b/>
          <w:sz w:val="22"/>
          <w:szCs w:val="22"/>
          <w:lang w:eastAsia="en-US"/>
        </w:rPr>
        <w:t>isterstvo pro místní rozvoj</w:t>
      </w:r>
    </w:p>
    <w:p w:rsidR="00D0386D" w:rsidRDefault="00D0386D" w:rsidP="003073F1">
      <w:pPr>
        <w:spacing w:line="276" w:lineRule="auto"/>
        <w:jc w:val="both"/>
        <w:rPr>
          <w:rFonts w:eastAsiaTheme="minorHAnsi" w:cs="Arial"/>
          <w:sz w:val="22"/>
          <w:szCs w:val="22"/>
          <w:lang w:eastAsia="en-US"/>
        </w:rPr>
      </w:pPr>
    </w:p>
    <w:p w:rsidR="007A4A8E" w:rsidRDefault="00564A79" w:rsidP="003073F1">
      <w:pPr>
        <w:spacing w:line="276" w:lineRule="auto"/>
        <w:jc w:val="both"/>
        <w:rPr>
          <w:rFonts w:eastAsiaTheme="minorHAnsi" w:cs="Arial"/>
          <w:b/>
          <w:sz w:val="22"/>
          <w:szCs w:val="22"/>
          <w:lang w:eastAsia="en-US"/>
        </w:rPr>
      </w:pPr>
      <w:r>
        <w:rPr>
          <w:rFonts w:eastAsiaTheme="minorHAnsi" w:cs="Arial"/>
          <w:sz w:val="22"/>
          <w:szCs w:val="22"/>
          <w:lang w:eastAsia="en-US"/>
        </w:rPr>
        <w:t xml:space="preserve">Ministerstvo pro místní rozvoj </w:t>
      </w:r>
      <w:r w:rsidR="00DF272B">
        <w:rPr>
          <w:rFonts w:eastAsiaTheme="minorHAnsi" w:cs="Arial"/>
          <w:sz w:val="22"/>
          <w:szCs w:val="22"/>
          <w:lang w:eastAsia="en-US"/>
        </w:rPr>
        <w:t>je aktuálně příjemcem jednoho vysoce rizikového projektu</w:t>
      </w:r>
      <w:r w:rsidR="00DF272B" w:rsidRPr="00DF272B">
        <w:t xml:space="preserve"> </w:t>
      </w:r>
      <w:r w:rsidR="00DF272B" w:rsidRPr="00F5773A">
        <w:rPr>
          <w:rFonts w:eastAsiaTheme="minorHAnsi" w:cs="Arial"/>
          <w:i/>
          <w:sz w:val="22"/>
          <w:szCs w:val="22"/>
          <w:lang w:eastAsia="en-US"/>
        </w:rPr>
        <w:t>Národní systém kvality služeb cestovního ruchu v České republice</w:t>
      </w:r>
      <w:r w:rsidR="00DF272B">
        <w:rPr>
          <w:rFonts w:eastAsiaTheme="minorHAnsi" w:cs="Arial"/>
          <w:i/>
          <w:sz w:val="22"/>
          <w:szCs w:val="22"/>
          <w:lang w:eastAsia="en-US"/>
        </w:rPr>
        <w:t xml:space="preserve">. </w:t>
      </w:r>
      <w:r w:rsidR="00DF272B">
        <w:rPr>
          <w:rFonts w:eastAsiaTheme="minorHAnsi" w:cs="Arial"/>
          <w:sz w:val="22"/>
          <w:szCs w:val="22"/>
          <w:lang w:eastAsia="en-US"/>
        </w:rPr>
        <w:t xml:space="preserve">Česká centrála cestovního ruchu jako příspěvková organizace MMR je příjemcem </w:t>
      </w:r>
      <w:r w:rsidR="00770E9F">
        <w:rPr>
          <w:rFonts w:eastAsiaTheme="minorHAnsi" w:cs="Arial"/>
          <w:sz w:val="22"/>
          <w:szCs w:val="22"/>
          <w:lang w:eastAsia="en-US"/>
        </w:rPr>
        <w:t xml:space="preserve">dvou </w:t>
      </w:r>
      <w:r w:rsidR="00656DAD">
        <w:rPr>
          <w:rFonts w:eastAsiaTheme="minorHAnsi" w:cs="Arial"/>
          <w:sz w:val="22"/>
          <w:szCs w:val="22"/>
          <w:lang w:eastAsia="en-US"/>
        </w:rPr>
        <w:t>rizikových projektů</w:t>
      </w:r>
      <w:r w:rsidR="00DF272B">
        <w:rPr>
          <w:rFonts w:eastAsiaTheme="minorHAnsi" w:cs="Arial"/>
          <w:sz w:val="22"/>
          <w:szCs w:val="22"/>
          <w:lang w:eastAsia="en-US"/>
        </w:rPr>
        <w:t xml:space="preserve"> </w:t>
      </w:r>
      <w:r w:rsidR="00DF272B" w:rsidRPr="00F5773A">
        <w:rPr>
          <w:rFonts w:eastAsiaTheme="minorHAnsi" w:cs="Arial"/>
          <w:i/>
          <w:sz w:val="22"/>
          <w:szCs w:val="22"/>
          <w:lang w:eastAsia="en-US"/>
        </w:rPr>
        <w:t>Zvýšení povědomí o atraktivitách regionů ČR s cílem zvýšení návštěvnost</w:t>
      </w:r>
      <w:r w:rsidR="00770E9F">
        <w:rPr>
          <w:rFonts w:eastAsiaTheme="minorHAnsi" w:cs="Arial"/>
          <w:i/>
          <w:sz w:val="22"/>
          <w:szCs w:val="22"/>
          <w:lang w:eastAsia="en-US"/>
        </w:rPr>
        <w:t xml:space="preserve"> a projektu Česko naše destinace </w:t>
      </w:r>
      <w:r w:rsidR="00770E9F" w:rsidRPr="003176B7">
        <w:rPr>
          <w:rFonts w:eastAsiaTheme="minorHAnsi" w:cs="Arial"/>
          <w:sz w:val="22"/>
          <w:szCs w:val="22"/>
          <w:lang w:eastAsia="en-US"/>
        </w:rPr>
        <w:t>v</w:t>
      </w:r>
      <w:r w:rsidR="00770E9F">
        <w:rPr>
          <w:rFonts w:eastAsiaTheme="minorHAnsi" w:cs="Arial"/>
          <w:sz w:val="22"/>
          <w:szCs w:val="22"/>
          <w:lang w:eastAsia="en-US"/>
        </w:rPr>
        <w:t> hodnotě 210 mil. </w:t>
      </w:r>
      <w:r w:rsidR="00770E9F" w:rsidDel="00770E9F">
        <w:rPr>
          <w:rFonts w:eastAsiaTheme="minorHAnsi" w:cs="Arial"/>
          <w:i/>
          <w:sz w:val="22"/>
          <w:szCs w:val="22"/>
          <w:lang w:eastAsia="en-US"/>
        </w:rPr>
        <w:t xml:space="preserve"> </w:t>
      </w:r>
    </w:p>
    <w:p w:rsidR="003176B7" w:rsidRDefault="003176B7" w:rsidP="003073F1">
      <w:pPr>
        <w:spacing w:line="276" w:lineRule="auto"/>
        <w:jc w:val="both"/>
        <w:rPr>
          <w:rFonts w:eastAsiaTheme="minorHAnsi" w:cs="Arial"/>
          <w:b/>
          <w:sz w:val="22"/>
          <w:szCs w:val="22"/>
          <w:lang w:eastAsia="en-US"/>
        </w:rPr>
      </w:pPr>
    </w:p>
    <w:p w:rsidR="0036796C" w:rsidRPr="0036796C" w:rsidRDefault="0036796C" w:rsidP="003073F1">
      <w:pPr>
        <w:spacing w:line="276" w:lineRule="auto"/>
        <w:jc w:val="both"/>
        <w:rPr>
          <w:rFonts w:eastAsiaTheme="minorHAnsi" w:cs="Arial"/>
          <w:b/>
          <w:sz w:val="22"/>
          <w:szCs w:val="22"/>
          <w:lang w:eastAsia="en-US"/>
        </w:rPr>
      </w:pPr>
      <w:r w:rsidRPr="0036796C">
        <w:rPr>
          <w:rFonts w:eastAsiaTheme="minorHAnsi" w:cs="Arial"/>
          <w:b/>
          <w:sz w:val="22"/>
          <w:szCs w:val="22"/>
          <w:lang w:eastAsia="en-US"/>
        </w:rPr>
        <w:t>Ministerstvo kultury</w:t>
      </w:r>
      <w:r w:rsidR="00131841">
        <w:rPr>
          <w:rFonts w:eastAsiaTheme="minorHAnsi" w:cs="Arial"/>
          <w:b/>
          <w:sz w:val="22"/>
          <w:szCs w:val="22"/>
          <w:lang w:eastAsia="en-US"/>
        </w:rPr>
        <w:t xml:space="preserve"> ČR</w:t>
      </w:r>
    </w:p>
    <w:p w:rsidR="002B72A9" w:rsidRDefault="002B72A9" w:rsidP="003073F1">
      <w:pPr>
        <w:spacing w:line="276" w:lineRule="auto"/>
        <w:jc w:val="both"/>
        <w:rPr>
          <w:rFonts w:eastAsiaTheme="minorHAnsi" w:cs="Arial"/>
          <w:sz w:val="22"/>
          <w:szCs w:val="22"/>
          <w:lang w:eastAsia="en-US"/>
        </w:rPr>
      </w:pPr>
    </w:p>
    <w:p w:rsidR="00131841" w:rsidRDefault="0036796C" w:rsidP="003073F1">
      <w:pPr>
        <w:spacing w:line="276" w:lineRule="auto"/>
        <w:jc w:val="both"/>
        <w:rPr>
          <w:rFonts w:eastAsiaTheme="minorHAnsi" w:cs="Arial"/>
          <w:sz w:val="22"/>
          <w:szCs w:val="22"/>
          <w:lang w:eastAsia="en-US"/>
        </w:rPr>
      </w:pPr>
      <w:r w:rsidRPr="0036796C">
        <w:rPr>
          <w:rFonts w:eastAsiaTheme="minorHAnsi" w:cs="Arial"/>
          <w:sz w:val="22"/>
          <w:szCs w:val="22"/>
          <w:lang w:eastAsia="en-US"/>
        </w:rPr>
        <w:t>Ministerstvo kultury realizuje vysoce rizikov</w:t>
      </w:r>
      <w:r w:rsidR="007058B6">
        <w:rPr>
          <w:rFonts w:eastAsiaTheme="minorHAnsi" w:cs="Arial"/>
          <w:sz w:val="22"/>
          <w:szCs w:val="22"/>
          <w:lang w:eastAsia="en-US"/>
        </w:rPr>
        <w:t>é</w:t>
      </w:r>
      <w:r w:rsidRPr="0036796C">
        <w:rPr>
          <w:rFonts w:eastAsiaTheme="minorHAnsi" w:cs="Arial"/>
          <w:sz w:val="22"/>
          <w:szCs w:val="22"/>
          <w:lang w:eastAsia="en-US"/>
        </w:rPr>
        <w:t xml:space="preserve"> projekty v 4.</w:t>
      </w:r>
      <w:r w:rsidR="00B64A0E">
        <w:rPr>
          <w:rFonts w:eastAsiaTheme="minorHAnsi" w:cs="Arial"/>
          <w:sz w:val="22"/>
          <w:szCs w:val="22"/>
          <w:lang w:eastAsia="en-US"/>
        </w:rPr>
        <w:t xml:space="preserve"> </w:t>
      </w:r>
      <w:r w:rsidR="00131841">
        <w:rPr>
          <w:rFonts w:eastAsiaTheme="minorHAnsi" w:cs="Arial"/>
          <w:sz w:val="22"/>
          <w:szCs w:val="22"/>
          <w:lang w:eastAsia="en-US"/>
        </w:rPr>
        <w:t>prioritní ose</w:t>
      </w:r>
      <w:r w:rsidR="000030CC">
        <w:rPr>
          <w:rFonts w:eastAsiaTheme="minorHAnsi" w:cs="Arial"/>
          <w:sz w:val="22"/>
          <w:szCs w:val="22"/>
          <w:lang w:eastAsia="en-US"/>
        </w:rPr>
        <w:t xml:space="preserve"> IOP</w:t>
      </w:r>
      <w:r w:rsidR="00131841">
        <w:rPr>
          <w:rFonts w:eastAsiaTheme="minorHAnsi" w:cs="Arial"/>
          <w:sz w:val="22"/>
          <w:szCs w:val="22"/>
          <w:lang w:eastAsia="en-US"/>
        </w:rPr>
        <w:t xml:space="preserve">, zaměřené na podporu cestovního ruchu. </w:t>
      </w:r>
      <w:r w:rsidR="000030CC">
        <w:rPr>
          <w:rFonts w:eastAsiaTheme="minorHAnsi" w:cs="Arial"/>
          <w:sz w:val="22"/>
          <w:szCs w:val="22"/>
          <w:lang w:eastAsia="en-US"/>
        </w:rPr>
        <w:t>P</w:t>
      </w:r>
      <w:r>
        <w:rPr>
          <w:rFonts w:eastAsiaTheme="minorHAnsi" w:cs="Arial"/>
          <w:sz w:val="22"/>
          <w:szCs w:val="22"/>
          <w:lang w:eastAsia="en-US"/>
        </w:rPr>
        <w:t xml:space="preserve">rojekt </w:t>
      </w:r>
      <w:r w:rsidRPr="006D3A9B">
        <w:rPr>
          <w:rFonts w:eastAsiaTheme="minorHAnsi" w:cs="Arial"/>
          <w:i/>
          <w:sz w:val="22"/>
          <w:szCs w:val="22"/>
          <w:lang w:eastAsia="en-US"/>
        </w:rPr>
        <w:t>Klíč k památkám</w:t>
      </w:r>
      <w:r>
        <w:rPr>
          <w:rFonts w:eastAsiaTheme="minorHAnsi" w:cs="Arial"/>
          <w:sz w:val="22"/>
          <w:szCs w:val="22"/>
          <w:lang w:eastAsia="en-US"/>
        </w:rPr>
        <w:t xml:space="preserve"> dlouhodobě vykazuj</w:t>
      </w:r>
      <w:r w:rsidR="001304D7">
        <w:rPr>
          <w:rFonts w:eastAsiaTheme="minorHAnsi" w:cs="Arial"/>
          <w:sz w:val="22"/>
          <w:szCs w:val="22"/>
          <w:lang w:eastAsia="en-US"/>
        </w:rPr>
        <w:t>e</w:t>
      </w:r>
      <w:r>
        <w:rPr>
          <w:rFonts w:eastAsiaTheme="minorHAnsi" w:cs="Arial"/>
          <w:sz w:val="22"/>
          <w:szCs w:val="22"/>
          <w:lang w:eastAsia="en-US"/>
        </w:rPr>
        <w:t xml:space="preserve"> velmi pomalé tempo realizace</w:t>
      </w:r>
      <w:r w:rsidR="00DF272B">
        <w:rPr>
          <w:rFonts w:eastAsiaTheme="minorHAnsi" w:cs="Arial"/>
          <w:sz w:val="22"/>
          <w:szCs w:val="22"/>
          <w:lang w:eastAsia="en-US"/>
        </w:rPr>
        <w:t xml:space="preserve"> a posouvání harmonogramu realizace,</w:t>
      </w:r>
      <w:r w:rsidR="00562C04">
        <w:rPr>
          <w:rFonts w:eastAsiaTheme="minorHAnsi" w:cs="Arial"/>
          <w:sz w:val="22"/>
          <w:szCs w:val="22"/>
          <w:lang w:eastAsia="en-US"/>
        </w:rPr>
        <w:t xml:space="preserve"> </w:t>
      </w:r>
      <w:r w:rsidR="00DF272B">
        <w:rPr>
          <w:rFonts w:eastAsiaTheme="minorHAnsi" w:cs="Arial"/>
          <w:sz w:val="22"/>
          <w:szCs w:val="22"/>
          <w:lang w:eastAsia="en-US"/>
        </w:rPr>
        <w:t>d</w:t>
      </w:r>
      <w:r w:rsidR="00562C04">
        <w:rPr>
          <w:rFonts w:eastAsiaTheme="minorHAnsi" w:cs="Arial"/>
          <w:sz w:val="22"/>
          <w:szCs w:val="22"/>
          <w:lang w:eastAsia="en-US"/>
        </w:rPr>
        <w:t>á</w:t>
      </w:r>
      <w:r w:rsidR="00DF272B">
        <w:rPr>
          <w:rFonts w:eastAsiaTheme="minorHAnsi" w:cs="Arial"/>
          <w:sz w:val="22"/>
          <w:szCs w:val="22"/>
          <w:lang w:eastAsia="en-US"/>
        </w:rPr>
        <w:t>l</w:t>
      </w:r>
      <w:r w:rsidR="00562C04">
        <w:rPr>
          <w:rFonts w:eastAsiaTheme="minorHAnsi" w:cs="Arial"/>
          <w:sz w:val="22"/>
          <w:szCs w:val="22"/>
          <w:lang w:eastAsia="en-US"/>
        </w:rPr>
        <w:t>e</w:t>
      </w:r>
      <w:r w:rsidR="00DF272B">
        <w:rPr>
          <w:rFonts w:eastAsiaTheme="minorHAnsi" w:cs="Arial"/>
          <w:sz w:val="22"/>
          <w:szCs w:val="22"/>
          <w:lang w:eastAsia="en-US"/>
        </w:rPr>
        <w:t xml:space="preserve"> také</w:t>
      </w:r>
      <w:r>
        <w:rPr>
          <w:rFonts w:eastAsiaTheme="minorHAnsi" w:cs="Arial"/>
          <w:sz w:val="22"/>
          <w:szCs w:val="22"/>
          <w:lang w:eastAsia="en-US"/>
        </w:rPr>
        <w:t xml:space="preserve"> výrazně zaostáv</w:t>
      </w:r>
      <w:r w:rsidR="00B76A79">
        <w:rPr>
          <w:rFonts w:eastAsiaTheme="minorHAnsi" w:cs="Arial"/>
          <w:sz w:val="22"/>
          <w:szCs w:val="22"/>
          <w:lang w:eastAsia="en-US"/>
        </w:rPr>
        <w:t>á</w:t>
      </w:r>
      <w:r>
        <w:rPr>
          <w:rFonts w:eastAsiaTheme="minorHAnsi" w:cs="Arial"/>
          <w:sz w:val="22"/>
          <w:szCs w:val="22"/>
          <w:lang w:eastAsia="en-US"/>
        </w:rPr>
        <w:t xml:space="preserve"> za</w:t>
      </w:r>
      <w:r w:rsidR="003017C3">
        <w:rPr>
          <w:rFonts w:eastAsiaTheme="minorHAnsi" w:cs="Arial"/>
          <w:sz w:val="22"/>
          <w:szCs w:val="22"/>
          <w:lang w:eastAsia="en-US"/>
        </w:rPr>
        <w:t> </w:t>
      </w:r>
      <w:r>
        <w:rPr>
          <w:rFonts w:eastAsiaTheme="minorHAnsi" w:cs="Arial"/>
          <w:sz w:val="22"/>
          <w:szCs w:val="22"/>
          <w:lang w:eastAsia="en-US"/>
        </w:rPr>
        <w:t xml:space="preserve"> predikcemi čerpání finančních prostředků.</w:t>
      </w:r>
      <w:r w:rsidR="007A4F5A">
        <w:rPr>
          <w:rFonts w:eastAsiaTheme="minorHAnsi" w:cs="Arial"/>
          <w:sz w:val="22"/>
          <w:szCs w:val="22"/>
          <w:lang w:eastAsia="en-US"/>
        </w:rPr>
        <w:t xml:space="preserve"> </w:t>
      </w:r>
    </w:p>
    <w:p w:rsidR="00131841" w:rsidRDefault="00131841" w:rsidP="003073F1">
      <w:pPr>
        <w:spacing w:line="276" w:lineRule="auto"/>
        <w:jc w:val="both"/>
        <w:rPr>
          <w:rFonts w:eastAsiaTheme="minorHAnsi" w:cs="Arial"/>
          <w:sz w:val="22"/>
          <w:szCs w:val="22"/>
          <w:lang w:eastAsia="en-US"/>
        </w:rPr>
      </w:pPr>
    </w:p>
    <w:p w:rsidR="003176B7" w:rsidRDefault="003176B7" w:rsidP="00564A79">
      <w:pPr>
        <w:spacing w:line="276" w:lineRule="auto"/>
        <w:jc w:val="both"/>
        <w:rPr>
          <w:rFonts w:eastAsiaTheme="minorHAnsi" w:cs="Arial"/>
          <w:b/>
          <w:sz w:val="22"/>
          <w:szCs w:val="22"/>
          <w:lang w:eastAsia="en-US"/>
        </w:rPr>
      </w:pPr>
    </w:p>
    <w:p w:rsidR="00564A79" w:rsidRPr="007A4F5A" w:rsidRDefault="00564A79" w:rsidP="00564A79">
      <w:pPr>
        <w:spacing w:line="276" w:lineRule="auto"/>
        <w:jc w:val="both"/>
        <w:rPr>
          <w:rFonts w:eastAsiaTheme="minorHAnsi" w:cs="Arial"/>
          <w:b/>
          <w:sz w:val="22"/>
          <w:szCs w:val="22"/>
          <w:lang w:eastAsia="en-US"/>
        </w:rPr>
      </w:pPr>
      <w:r w:rsidRPr="007A4F5A">
        <w:rPr>
          <w:rFonts w:eastAsiaTheme="minorHAnsi" w:cs="Arial"/>
          <w:b/>
          <w:sz w:val="22"/>
          <w:szCs w:val="22"/>
          <w:lang w:eastAsia="en-US"/>
        </w:rPr>
        <w:t xml:space="preserve">Ministerstvo zdravotnictví </w:t>
      </w:r>
      <w:r>
        <w:rPr>
          <w:rFonts w:eastAsiaTheme="minorHAnsi" w:cs="Arial"/>
          <w:b/>
          <w:sz w:val="22"/>
          <w:szCs w:val="22"/>
          <w:lang w:eastAsia="en-US"/>
        </w:rPr>
        <w:t xml:space="preserve">ČR </w:t>
      </w:r>
    </w:p>
    <w:p w:rsidR="00D0386D" w:rsidRDefault="00D0386D" w:rsidP="00564A79">
      <w:pPr>
        <w:spacing w:line="276" w:lineRule="auto"/>
        <w:jc w:val="both"/>
        <w:rPr>
          <w:rFonts w:eastAsiaTheme="minorHAnsi" w:cs="Arial"/>
          <w:sz w:val="22"/>
          <w:szCs w:val="22"/>
          <w:lang w:eastAsia="en-US"/>
        </w:rPr>
      </w:pPr>
    </w:p>
    <w:p w:rsidR="00DF272B" w:rsidRPr="00126D7F" w:rsidRDefault="00030C1A" w:rsidP="003073F1">
      <w:pPr>
        <w:spacing w:line="276" w:lineRule="auto"/>
        <w:jc w:val="both"/>
        <w:rPr>
          <w:rFonts w:eastAsiaTheme="minorHAnsi" w:cs="Arial"/>
          <w:sz w:val="22"/>
          <w:szCs w:val="22"/>
          <w:lang w:eastAsia="en-US"/>
        </w:rPr>
      </w:pPr>
      <w:r w:rsidRPr="00126D7F">
        <w:rPr>
          <w:rFonts w:eastAsiaTheme="minorHAnsi" w:cs="Arial"/>
          <w:sz w:val="22"/>
          <w:szCs w:val="22"/>
          <w:lang w:eastAsia="en-US"/>
        </w:rPr>
        <w:t>V tuto chvíli jsou evidovány dva vysoce rizikové projekty, kde je příjemcem OSS zřizovaná MZd (KSRZIS). Jedná se o dodatečně realizované projekty v oblasti intervence 1.1 Modernizace veřejné správy v hodnotě cca. 139 mil. Kč. U těchto projektů hrozí vysoké riziko nedodržení harmonogramů jejich realizace projektů, které bylo způsobeno nutností zajišťování rozpočtového opatření. Přestože rozpočtové opatření schválila vláda ČR dne 23. 7. 2015 a RV PSP ČR, nebylo dosud ze strany MF schváleno jejich zařazení do chronologické evidence. Toto zařazení bude provedeno po té, co ministr financí schválí rozpočtové opatření na podíl EU (ERDF). Bez zajištění odpovídajícího finančního krytí, nemůže příjemce uzavírat smluvní vztahy s dodavateli související s realizací projektů.</w:t>
      </w:r>
    </w:p>
    <w:p w:rsidR="00562C04" w:rsidRDefault="00562C04" w:rsidP="003073F1">
      <w:pPr>
        <w:spacing w:line="276" w:lineRule="auto"/>
        <w:jc w:val="both"/>
        <w:rPr>
          <w:rFonts w:eastAsiaTheme="minorHAnsi" w:cs="Arial"/>
          <w:b/>
          <w:sz w:val="22"/>
          <w:szCs w:val="22"/>
          <w:lang w:eastAsia="en-US"/>
        </w:rPr>
      </w:pPr>
    </w:p>
    <w:p w:rsidR="0018169A" w:rsidRDefault="0018169A" w:rsidP="003073F1">
      <w:pPr>
        <w:spacing w:line="276" w:lineRule="auto"/>
        <w:jc w:val="both"/>
        <w:rPr>
          <w:rFonts w:eastAsiaTheme="minorHAnsi" w:cs="Arial"/>
          <w:b/>
          <w:sz w:val="22"/>
          <w:szCs w:val="22"/>
          <w:lang w:eastAsia="en-US"/>
        </w:rPr>
      </w:pPr>
      <w:r w:rsidRPr="00383C12">
        <w:rPr>
          <w:rFonts w:eastAsiaTheme="minorHAnsi" w:cs="Arial"/>
          <w:b/>
          <w:sz w:val="22"/>
          <w:szCs w:val="22"/>
          <w:lang w:eastAsia="en-US"/>
        </w:rPr>
        <w:t>Ministerstvo zemědělství ČR</w:t>
      </w:r>
    </w:p>
    <w:p w:rsidR="00D0386D" w:rsidRDefault="00D0386D" w:rsidP="00092613">
      <w:pPr>
        <w:spacing w:line="276" w:lineRule="auto"/>
        <w:jc w:val="both"/>
        <w:rPr>
          <w:rFonts w:eastAsiaTheme="minorHAnsi" w:cs="Arial"/>
          <w:sz w:val="22"/>
          <w:szCs w:val="22"/>
          <w:lang w:eastAsia="en-US"/>
        </w:rPr>
      </w:pPr>
    </w:p>
    <w:p w:rsidR="0018169A" w:rsidRDefault="003176B7" w:rsidP="003073F1">
      <w:pPr>
        <w:spacing w:line="276" w:lineRule="auto"/>
        <w:jc w:val="both"/>
        <w:rPr>
          <w:rFonts w:eastAsiaTheme="minorHAnsi" w:cs="Arial"/>
          <w:sz w:val="22"/>
          <w:szCs w:val="22"/>
          <w:lang w:eastAsia="en-US"/>
        </w:rPr>
      </w:pPr>
      <w:r w:rsidRPr="003176B7">
        <w:rPr>
          <w:rFonts w:eastAsiaTheme="minorHAnsi" w:cs="Arial"/>
          <w:sz w:val="22"/>
          <w:szCs w:val="22"/>
          <w:lang w:eastAsia="en-US"/>
        </w:rPr>
        <w:t>Pod Ministerst</w:t>
      </w:r>
      <w:r w:rsidR="0082529F">
        <w:rPr>
          <w:rFonts w:eastAsiaTheme="minorHAnsi" w:cs="Arial"/>
          <w:sz w:val="22"/>
          <w:szCs w:val="22"/>
          <w:lang w:eastAsia="en-US"/>
        </w:rPr>
        <w:t>vo zemědělství spadá jeden vysoce rizikový</w:t>
      </w:r>
      <w:r w:rsidRPr="003176B7">
        <w:rPr>
          <w:rFonts w:eastAsiaTheme="minorHAnsi" w:cs="Arial"/>
          <w:sz w:val="22"/>
          <w:szCs w:val="22"/>
          <w:lang w:eastAsia="en-US"/>
        </w:rPr>
        <w:t xml:space="preserve"> projekt Obnova součástí NKP Hřebčín v Kladrubech nad Labem, kde je příjemcem Národní hřebčín Kladruby nad Labem, s. p. o. Termín ukončení realizace projektu byl na žádost příjemce posunut</w:t>
      </w:r>
      <w:r w:rsidR="00DC69D3">
        <w:rPr>
          <w:rFonts w:eastAsiaTheme="minorHAnsi" w:cs="Arial"/>
          <w:sz w:val="22"/>
          <w:szCs w:val="22"/>
          <w:lang w:eastAsia="en-US"/>
        </w:rPr>
        <w:t xml:space="preserve"> o 9 měsíců, tj. na 30. 9. 2015, čímž se prodloužila možnost realizovat v</w:t>
      </w:r>
      <w:r w:rsidR="000B7019">
        <w:rPr>
          <w:rFonts w:eastAsiaTheme="minorHAnsi" w:cs="Arial"/>
          <w:sz w:val="22"/>
          <w:szCs w:val="22"/>
          <w:lang w:eastAsia="en-US"/>
        </w:rPr>
        <w:t> </w:t>
      </w:r>
      <w:r w:rsidR="00DC69D3">
        <w:rPr>
          <w:rFonts w:eastAsiaTheme="minorHAnsi" w:cs="Arial"/>
          <w:sz w:val="22"/>
          <w:szCs w:val="22"/>
          <w:lang w:eastAsia="en-US"/>
        </w:rPr>
        <w:t>termínu</w:t>
      </w:r>
      <w:r w:rsidR="000B7019">
        <w:rPr>
          <w:rFonts w:eastAsiaTheme="minorHAnsi" w:cs="Arial"/>
          <w:sz w:val="22"/>
          <w:szCs w:val="22"/>
          <w:lang w:eastAsia="en-US"/>
        </w:rPr>
        <w:t xml:space="preserve"> stavební část projektu. </w:t>
      </w:r>
      <w:r w:rsidRPr="003176B7">
        <w:rPr>
          <w:rFonts w:eastAsiaTheme="minorHAnsi" w:cs="Arial"/>
          <w:sz w:val="22"/>
          <w:szCs w:val="22"/>
          <w:lang w:eastAsia="en-US"/>
        </w:rPr>
        <w:t xml:space="preserve">Projekt dlouhodobě vykazuje nízké čerpání, cca 40 % prostředků zbývá vyčerpat v rámci poslední etapy. </w:t>
      </w:r>
      <w:r w:rsidR="00DC69D3">
        <w:rPr>
          <w:rFonts w:eastAsiaTheme="minorHAnsi" w:cs="Arial"/>
          <w:sz w:val="22"/>
          <w:szCs w:val="22"/>
          <w:lang w:eastAsia="en-US"/>
        </w:rPr>
        <w:t>Stále je identifikováno vysoké riziko v administraci projektu</w:t>
      </w:r>
      <w:r w:rsidRPr="003176B7">
        <w:rPr>
          <w:rFonts w:eastAsiaTheme="minorHAnsi" w:cs="Arial"/>
          <w:sz w:val="22"/>
          <w:szCs w:val="22"/>
          <w:lang w:eastAsia="en-US"/>
        </w:rPr>
        <w:t xml:space="preserve"> (dokládání dokumentace </w:t>
      </w:r>
      <w:r w:rsidRPr="003176B7">
        <w:rPr>
          <w:rFonts w:eastAsiaTheme="minorHAnsi" w:cs="Arial"/>
          <w:sz w:val="22"/>
          <w:szCs w:val="22"/>
          <w:lang w:eastAsia="en-US"/>
        </w:rPr>
        <w:lastRenderedPageBreak/>
        <w:t>k</w:t>
      </w:r>
      <w:r w:rsidR="003017C3">
        <w:rPr>
          <w:rFonts w:eastAsiaTheme="minorHAnsi" w:cs="Arial"/>
          <w:sz w:val="22"/>
          <w:szCs w:val="22"/>
          <w:lang w:eastAsia="en-US"/>
        </w:rPr>
        <w:t> </w:t>
      </w:r>
      <w:r w:rsidRPr="003176B7">
        <w:rPr>
          <w:rFonts w:eastAsiaTheme="minorHAnsi" w:cs="Arial"/>
          <w:sz w:val="22"/>
          <w:szCs w:val="22"/>
          <w:lang w:eastAsia="en-US"/>
        </w:rPr>
        <w:t xml:space="preserve"> výběrovým řízením a faktur, velké množství změnových listů a oznámení o změnách), které </w:t>
      </w:r>
      <w:r w:rsidR="00DC69D3">
        <w:rPr>
          <w:rFonts w:eastAsiaTheme="minorHAnsi" w:cs="Arial"/>
          <w:sz w:val="22"/>
          <w:szCs w:val="22"/>
          <w:lang w:eastAsia="en-US"/>
        </w:rPr>
        <w:t xml:space="preserve">nadále </w:t>
      </w:r>
      <w:r w:rsidR="000B7019">
        <w:rPr>
          <w:rFonts w:eastAsiaTheme="minorHAnsi" w:cs="Arial"/>
          <w:sz w:val="22"/>
          <w:szCs w:val="22"/>
          <w:lang w:eastAsia="en-US"/>
        </w:rPr>
        <w:t>ohrožují</w:t>
      </w:r>
      <w:r w:rsidRPr="003176B7">
        <w:rPr>
          <w:rFonts w:eastAsiaTheme="minorHAnsi" w:cs="Arial"/>
          <w:sz w:val="22"/>
          <w:szCs w:val="22"/>
          <w:lang w:eastAsia="en-US"/>
        </w:rPr>
        <w:t xml:space="preserve"> dokončení realizace projektu v termínu.</w:t>
      </w:r>
    </w:p>
    <w:p w:rsidR="00252871" w:rsidRDefault="00252871" w:rsidP="003073F1">
      <w:pPr>
        <w:spacing w:line="276" w:lineRule="auto"/>
        <w:jc w:val="both"/>
        <w:rPr>
          <w:rFonts w:eastAsiaTheme="minorHAnsi" w:cs="Arial"/>
          <w:sz w:val="22"/>
          <w:szCs w:val="22"/>
          <w:lang w:eastAsia="en-US"/>
        </w:rPr>
      </w:pPr>
    </w:p>
    <w:p w:rsidR="00252871" w:rsidRDefault="00252871" w:rsidP="003073F1">
      <w:pPr>
        <w:spacing w:line="276" w:lineRule="auto"/>
        <w:jc w:val="both"/>
        <w:rPr>
          <w:rFonts w:eastAsiaTheme="minorHAnsi" w:cs="Arial"/>
          <w:sz w:val="22"/>
          <w:szCs w:val="22"/>
          <w:lang w:eastAsia="en-US"/>
        </w:rPr>
      </w:pPr>
    </w:p>
    <w:p w:rsidR="00126D7F" w:rsidRDefault="00126D7F" w:rsidP="003073F1">
      <w:pPr>
        <w:spacing w:line="276" w:lineRule="auto"/>
        <w:jc w:val="both"/>
        <w:rPr>
          <w:rFonts w:eastAsiaTheme="minorHAnsi" w:cs="Arial"/>
          <w:sz w:val="22"/>
          <w:szCs w:val="22"/>
          <w:lang w:eastAsia="en-US"/>
        </w:rPr>
      </w:pPr>
    </w:p>
    <w:p w:rsidR="00126D7F" w:rsidRDefault="00126D7F" w:rsidP="003073F1">
      <w:pPr>
        <w:spacing w:line="276" w:lineRule="auto"/>
        <w:jc w:val="both"/>
        <w:rPr>
          <w:rFonts w:eastAsiaTheme="minorHAnsi" w:cs="Arial"/>
          <w:sz w:val="22"/>
          <w:szCs w:val="22"/>
          <w:lang w:eastAsia="en-US"/>
        </w:rPr>
      </w:pPr>
    </w:p>
    <w:p w:rsidR="00252871" w:rsidRDefault="00252871" w:rsidP="003073F1">
      <w:pPr>
        <w:spacing w:line="276" w:lineRule="auto"/>
        <w:jc w:val="both"/>
        <w:rPr>
          <w:rFonts w:eastAsiaTheme="minorHAnsi" w:cs="Arial"/>
          <w:b/>
          <w:sz w:val="22"/>
          <w:szCs w:val="22"/>
          <w:lang w:eastAsia="en-US"/>
        </w:rPr>
      </w:pPr>
    </w:p>
    <w:p w:rsidR="003176B7" w:rsidRDefault="003176B7" w:rsidP="003073F1">
      <w:pPr>
        <w:spacing w:line="276" w:lineRule="auto"/>
        <w:jc w:val="both"/>
        <w:rPr>
          <w:rFonts w:eastAsiaTheme="minorHAnsi" w:cs="Arial"/>
          <w:b/>
          <w:sz w:val="22"/>
          <w:szCs w:val="22"/>
          <w:lang w:eastAsia="en-US"/>
        </w:rPr>
      </w:pPr>
    </w:p>
    <w:p w:rsidR="00126D7F" w:rsidRDefault="00126D7F" w:rsidP="003073F1">
      <w:pPr>
        <w:spacing w:line="276" w:lineRule="auto"/>
        <w:jc w:val="both"/>
        <w:rPr>
          <w:rFonts w:eastAsiaTheme="minorHAnsi" w:cs="Arial"/>
          <w:b/>
          <w:sz w:val="22"/>
          <w:szCs w:val="22"/>
          <w:lang w:eastAsia="en-US"/>
        </w:rPr>
      </w:pPr>
    </w:p>
    <w:p w:rsidR="00126D7F" w:rsidRDefault="00126D7F" w:rsidP="003073F1">
      <w:pPr>
        <w:spacing w:line="276" w:lineRule="auto"/>
        <w:jc w:val="both"/>
        <w:rPr>
          <w:rFonts w:eastAsiaTheme="minorHAnsi" w:cs="Arial"/>
          <w:b/>
          <w:sz w:val="22"/>
          <w:szCs w:val="22"/>
          <w:lang w:eastAsia="en-US"/>
        </w:rPr>
      </w:pPr>
    </w:p>
    <w:p w:rsidR="00126D7F" w:rsidRDefault="00126D7F" w:rsidP="003073F1">
      <w:pPr>
        <w:spacing w:line="276" w:lineRule="auto"/>
        <w:jc w:val="both"/>
        <w:rPr>
          <w:rFonts w:eastAsiaTheme="minorHAnsi" w:cs="Arial"/>
          <w:b/>
          <w:sz w:val="22"/>
          <w:szCs w:val="22"/>
          <w:lang w:eastAsia="en-US"/>
        </w:rPr>
      </w:pPr>
    </w:p>
    <w:p w:rsidR="00126D7F" w:rsidRPr="00383C12" w:rsidRDefault="00126D7F" w:rsidP="003073F1">
      <w:pPr>
        <w:spacing w:line="276" w:lineRule="auto"/>
        <w:jc w:val="both"/>
        <w:rPr>
          <w:rFonts w:eastAsiaTheme="minorHAnsi" w:cs="Arial"/>
          <w:b/>
          <w:sz w:val="22"/>
          <w:szCs w:val="22"/>
          <w:lang w:eastAsia="en-US"/>
        </w:rPr>
      </w:pPr>
    </w:p>
    <w:p w:rsidR="00140AC4" w:rsidRPr="00E472EC" w:rsidRDefault="00EE65DA" w:rsidP="00111D78">
      <w:pPr>
        <w:pStyle w:val="Nadpis2"/>
        <w:numPr>
          <w:ilvl w:val="0"/>
          <w:numId w:val="3"/>
        </w:numPr>
      </w:pPr>
      <w:r w:rsidRPr="00E472EC">
        <w:t>Závěr</w:t>
      </w:r>
    </w:p>
    <w:p w:rsidR="00EA1ABB" w:rsidRPr="00E472EC" w:rsidRDefault="00EA1ABB" w:rsidP="003073F1">
      <w:pPr>
        <w:spacing w:line="276" w:lineRule="auto"/>
        <w:jc w:val="both"/>
        <w:rPr>
          <w:rFonts w:cs="Arial"/>
          <w:sz w:val="22"/>
          <w:szCs w:val="22"/>
        </w:rPr>
      </w:pPr>
    </w:p>
    <w:p w:rsidR="00AD043F" w:rsidRDefault="00054F24" w:rsidP="00CF466D">
      <w:pPr>
        <w:spacing w:line="276" w:lineRule="auto"/>
        <w:jc w:val="both"/>
        <w:rPr>
          <w:rFonts w:cs="Arial"/>
          <w:sz w:val="22"/>
          <w:szCs w:val="22"/>
        </w:rPr>
      </w:pPr>
      <w:r w:rsidRPr="00E472EC">
        <w:rPr>
          <w:rFonts w:cs="Arial"/>
          <w:sz w:val="22"/>
          <w:szCs w:val="22"/>
        </w:rPr>
        <w:t xml:space="preserve">Zesílený dohled ŘO IOP a ZS </w:t>
      </w:r>
      <w:r w:rsidR="00C8190D" w:rsidRPr="00E472EC">
        <w:rPr>
          <w:rFonts w:cs="Arial"/>
          <w:sz w:val="22"/>
          <w:szCs w:val="22"/>
        </w:rPr>
        <w:t xml:space="preserve">nad problematickými projekty se ukázal </w:t>
      </w:r>
      <w:r w:rsidR="00755390">
        <w:rPr>
          <w:rFonts w:cs="Arial"/>
          <w:sz w:val="22"/>
          <w:szCs w:val="22"/>
        </w:rPr>
        <w:t xml:space="preserve">částečně </w:t>
      </w:r>
      <w:r w:rsidR="00C8190D" w:rsidRPr="00E472EC">
        <w:rPr>
          <w:rFonts w:cs="Arial"/>
          <w:sz w:val="22"/>
          <w:szCs w:val="22"/>
        </w:rPr>
        <w:t>účinný</w:t>
      </w:r>
      <w:r w:rsidR="00183E8B">
        <w:rPr>
          <w:rFonts w:cs="Arial"/>
          <w:sz w:val="22"/>
          <w:szCs w:val="22"/>
        </w:rPr>
        <w:t>, a to i</w:t>
      </w:r>
      <w:r w:rsidR="003017C3">
        <w:rPr>
          <w:rFonts w:cs="Arial"/>
          <w:sz w:val="22"/>
          <w:szCs w:val="22"/>
        </w:rPr>
        <w:t> </w:t>
      </w:r>
      <w:r w:rsidR="00183E8B">
        <w:rPr>
          <w:rFonts w:cs="Arial"/>
          <w:sz w:val="22"/>
          <w:szCs w:val="22"/>
        </w:rPr>
        <w:t xml:space="preserve"> v případě některých </w:t>
      </w:r>
      <w:r w:rsidR="004F0D02">
        <w:rPr>
          <w:rFonts w:cs="Arial"/>
          <w:sz w:val="22"/>
          <w:szCs w:val="22"/>
        </w:rPr>
        <w:t>organizačních složek státu</w:t>
      </w:r>
      <w:r w:rsidR="00183E8B">
        <w:rPr>
          <w:rFonts w:cs="Arial"/>
          <w:sz w:val="22"/>
          <w:szCs w:val="22"/>
        </w:rPr>
        <w:t>. Přesto se díky</w:t>
      </w:r>
      <w:r w:rsidR="00AD043F">
        <w:rPr>
          <w:rFonts w:cs="Arial"/>
          <w:sz w:val="22"/>
          <w:szCs w:val="22"/>
        </w:rPr>
        <w:t xml:space="preserve"> </w:t>
      </w:r>
      <w:r w:rsidR="00FE282E">
        <w:rPr>
          <w:rFonts w:cs="Arial"/>
          <w:sz w:val="22"/>
          <w:szCs w:val="22"/>
        </w:rPr>
        <w:t xml:space="preserve">blížícímu </w:t>
      </w:r>
      <w:r w:rsidR="00FE282E" w:rsidRPr="00AD043F">
        <w:rPr>
          <w:rFonts w:cs="Arial"/>
          <w:sz w:val="22"/>
          <w:szCs w:val="22"/>
        </w:rPr>
        <w:t>termínu</w:t>
      </w:r>
      <w:r w:rsidR="00AD043F" w:rsidRPr="00AD043F">
        <w:rPr>
          <w:rFonts w:cs="Arial"/>
          <w:sz w:val="22"/>
          <w:szCs w:val="22"/>
        </w:rPr>
        <w:t xml:space="preserve"> ukončení celého </w:t>
      </w:r>
      <w:r w:rsidR="002E44C1" w:rsidRPr="00AD043F">
        <w:rPr>
          <w:rFonts w:cs="Arial"/>
          <w:sz w:val="22"/>
          <w:szCs w:val="22"/>
        </w:rPr>
        <w:t>programu a nově</w:t>
      </w:r>
      <w:r w:rsidR="00183E8B">
        <w:rPr>
          <w:rFonts w:cs="Arial"/>
          <w:sz w:val="22"/>
          <w:szCs w:val="22"/>
        </w:rPr>
        <w:t xml:space="preserve"> schvalovaným projektům v druhé </w:t>
      </w:r>
      <w:r w:rsidR="00AD043F">
        <w:rPr>
          <w:rFonts w:cs="Arial"/>
          <w:sz w:val="22"/>
          <w:szCs w:val="22"/>
        </w:rPr>
        <w:t>polovině roku 2014 objevilo</w:t>
      </w:r>
      <w:r w:rsidR="00183E8B">
        <w:rPr>
          <w:rFonts w:cs="Arial"/>
          <w:sz w:val="22"/>
          <w:szCs w:val="22"/>
        </w:rPr>
        <w:t xml:space="preserve"> množství rizikových projektů, </w:t>
      </w:r>
      <w:r w:rsidR="004F0D02">
        <w:rPr>
          <w:rFonts w:cs="Arial"/>
          <w:sz w:val="22"/>
          <w:szCs w:val="22"/>
        </w:rPr>
        <w:t>u kterých</w:t>
      </w:r>
      <w:r w:rsidR="00183E8B">
        <w:rPr>
          <w:rFonts w:cs="Arial"/>
          <w:sz w:val="22"/>
          <w:szCs w:val="22"/>
        </w:rPr>
        <w:t xml:space="preserve"> je třeba bezpodmínečně dodržet nastavený harmonogram realizace projektu a vyvarovat se zejména </w:t>
      </w:r>
      <w:r w:rsidR="00E4153C">
        <w:rPr>
          <w:rFonts w:cs="Arial"/>
          <w:sz w:val="22"/>
          <w:szCs w:val="22"/>
        </w:rPr>
        <w:t xml:space="preserve">zdlouhavých byrokratických </w:t>
      </w:r>
      <w:r w:rsidR="00183E8B">
        <w:rPr>
          <w:rFonts w:cs="Arial"/>
          <w:sz w:val="22"/>
          <w:szCs w:val="22"/>
        </w:rPr>
        <w:t xml:space="preserve">průtahů </w:t>
      </w:r>
      <w:r w:rsidR="004F0D02">
        <w:rPr>
          <w:rFonts w:cs="Arial"/>
          <w:sz w:val="22"/>
          <w:szCs w:val="22"/>
        </w:rPr>
        <w:t xml:space="preserve">na straně příjemců </w:t>
      </w:r>
      <w:r w:rsidR="00183E8B">
        <w:rPr>
          <w:rFonts w:cs="Arial"/>
          <w:sz w:val="22"/>
          <w:szCs w:val="22"/>
        </w:rPr>
        <w:t xml:space="preserve">při řešení problémů v projektovém řízení. V případě projektů, které jsou dlouhodobě evidovány jako problémové, je nutné provést </w:t>
      </w:r>
      <w:r w:rsidR="00755390">
        <w:rPr>
          <w:rFonts w:cs="Arial"/>
          <w:sz w:val="22"/>
          <w:szCs w:val="22"/>
        </w:rPr>
        <w:t xml:space="preserve">na straně příjemců </w:t>
      </w:r>
      <w:r w:rsidR="00183E8B">
        <w:rPr>
          <w:rFonts w:cs="Arial"/>
          <w:sz w:val="22"/>
          <w:szCs w:val="22"/>
        </w:rPr>
        <w:t>zásadní kroky k řešení problémů v</w:t>
      </w:r>
      <w:r w:rsidR="00E4153C">
        <w:rPr>
          <w:rFonts w:cs="Arial"/>
          <w:sz w:val="22"/>
          <w:szCs w:val="22"/>
        </w:rPr>
        <w:t> </w:t>
      </w:r>
      <w:r w:rsidR="00183E8B">
        <w:rPr>
          <w:rFonts w:cs="Arial"/>
          <w:sz w:val="22"/>
          <w:szCs w:val="22"/>
        </w:rPr>
        <w:t>projektech vedoucí k úspěšnému ukonče</w:t>
      </w:r>
      <w:r w:rsidR="001304D7">
        <w:rPr>
          <w:rFonts w:cs="Arial"/>
          <w:sz w:val="22"/>
          <w:szCs w:val="22"/>
        </w:rPr>
        <w:t>n</w:t>
      </w:r>
      <w:r w:rsidR="00183E8B">
        <w:rPr>
          <w:rFonts w:cs="Arial"/>
          <w:sz w:val="22"/>
          <w:szCs w:val="22"/>
        </w:rPr>
        <w:t>í realizace projekt</w:t>
      </w:r>
      <w:r w:rsidR="004F4C35">
        <w:rPr>
          <w:rFonts w:cs="Arial"/>
          <w:sz w:val="22"/>
          <w:szCs w:val="22"/>
        </w:rPr>
        <w:t>ů</w:t>
      </w:r>
      <w:r w:rsidR="00183E8B">
        <w:rPr>
          <w:rFonts w:cs="Arial"/>
          <w:sz w:val="22"/>
          <w:szCs w:val="22"/>
        </w:rPr>
        <w:t xml:space="preserve">.  </w:t>
      </w:r>
      <w:r w:rsidR="00C8190D" w:rsidRPr="00E472EC">
        <w:rPr>
          <w:rFonts w:cs="Arial"/>
          <w:sz w:val="22"/>
          <w:szCs w:val="22"/>
        </w:rPr>
        <w:t xml:space="preserve"> </w:t>
      </w:r>
    </w:p>
    <w:p w:rsidR="00AD043F" w:rsidRDefault="00AD043F" w:rsidP="00CF466D">
      <w:pPr>
        <w:spacing w:line="276" w:lineRule="auto"/>
        <w:jc w:val="both"/>
        <w:rPr>
          <w:rFonts w:cs="Arial"/>
          <w:sz w:val="22"/>
          <w:szCs w:val="22"/>
        </w:rPr>
      </w:pPr>
    </w:p>
    <w:p w:rsidR="004E54E1" w:rsidRDefault="00507207" w:rsidP="00CF466D">
      <w:pPr>
        <w:spacing w:line="276" w:lineRule="auto"/>
        <w:jc w:val="both"/>
        <w:rPr>
          <w:rFonts w:cs="Arial"/>
          <w:sz w:val="22"/>
          <w:szCs w:val="22"/>
        </w:rPr>
      </w:pPr>
      <w:r>
        <w:rPr>
          <w:rFonts w:cs="Arial"/>
          <w:b/>
          <w:sz w:val="22"/>
          <w:szCs w:val="22"/>
        </w:rPr>
        <w:t>O</w:t>
      </w:r>
      <w:r w:rsidR="004F0D02">
        <w:rPr>
          <w:rFonts w:cs="Arial"/>
          <w:b/>
          <w:sz w:val="22"/>
          <w:szCs w:val="22"/>
        </w:rPr>
        <w:t>dstupování od realizace projektů</w:t>
      </w:r>
      <w:r w:rsidR="000C1AA7" w:rsidRPr="0037061F">
        <w:rPr>
          <w:rFonts w:cs="Arial"/>
          <w:b/>
          <w:sz w:val="22"/>
          <w:szCs w:val="22"/>
        </w:rPr>
        <w:t xml:space="preserve"> není řešením z hlediska dopadu na </w:t>
      </w:r>
      <w:r w:rsidR="00755390">
        <w:rPr>
          <w:rFonts w:cs="Arial"/>
          <w:b/>
          <w:sz w:val="22"/>
          <w:szCs w:val="22"/>
        </w:rPr>
        <w:t xml:space="preserve">celkové </w:t>
      </w:r>
      <w:r w:rsidR="00183E8B">
        <w:rPr>
          <w:rFonts w:cs="Arial"/>
          <w:b/>
          <w:sz w:val="22"/>
          <w:szCs w:val="22"/>
        </w:rPr>
        <w:t>čerpání alokace programu</w:t>
      </w:r>
      <w:r>
        <w:rPr>
          <w:rFonts w:cs="Arial"/>
          <w:b/>
          <w:sz w:val="22"/>
          <w:szCs w:val="22"/>
        </w:rPr>
        <w:t xml:space="preserve"> </w:t>
      </w:r>
      <w:r w:rsidR="00092613">
        <w:rPr>
          <w:rFonts w:cs="Arial"/>
          <w:b/>
          <w:sz w:val="22"/>
          <w:szCs w:val="22"/>
        </w:rPr>
        <w:t>a dosažení plánovaných cílů</w:t>
      </w:r>
      <w:r w:rsidR="000C1AA7">
        <w:rPr>
          <w:rFonts w:cs="Arial"/>
          <w:sz w:val="22"/>
          <w:szCs w:val="22"/>
        </w:rPr>
        <w:t xml:space="preserve">. </w:t>
      </w:r>
      <w:r w:rsidR="00092613" w:rsidRPr="00092613">
        <w:rPr>
          <w:rFonts w:cs="Arial"/>
          <w:b/>
          <w:sz w:val="22"/>
          <w:szCs w:val="22"/>
        </w:rPr>
        <w:t>Nicméně s ohledem na blížící se konec programového období je čím dál reálnější riziko</w:t>
      </w:r>
      <w:r w:rsidR="00833A65">
        <w:rPr>
          <w:rFonts w:cs="Arial"/>
          <w:b/>
          <w:sz w:val="22"/>
          <w:szCs w:val="22"/>
        </w:rPr>
        <w:t>, kdy</w:t>
      </w:r>
      <w:r w:rsidR="00092613" w:rsidRPr="00092613">
        <w:rPr>
          <w:rFonts w:cs="Arial"/>
          <w:b/>
          <w:sz w:val="22"/>
          <w:szCs w:val="22"/>
        </w:rPr>
        <w:t xml:space="preserve"> při selhání projektu bude muset být nakonec </w:t>
      </w:r>
      <w:r w:rsidR="00833A65" w:rsidRPr="00092613">
        <w:rPr>
          <w:rFonts w:cs="Arial"/>
          <w:b/>
          <w:sz w:val="22"/>
          <w:szCs w:val="22"/>
        </w:rPr>
        <w:t>celá výše</w:t>
      </w:r>
      <w:r w:rsidR="00183E8B">
        <w:rPr>
          <w:rFonts w:cs="Arial"/>
          <w:b/>
          <w:sz w:val="22"/>
          <w:szCs w:val="22"/>
        </w:rPr>
        <w:t xml:space="preserve"> již uskutečněných</w:t>
      </w:r>
      <w:r w:rsidR="00035661">
        <w:rPr>
          <w:rFonts w:cs="Arial"/>
          <w:b/>
          <w:sz w:val="22"/>
          <w:szCs w:val="22"/>
        </w:rPr>
        <w:t xml:space="preserve"> </w:t>
      </w:r>
      <w:r w:rsidR="00035661" w:rsidRPr="005D6B9D">
        <w:rPr>
          <w:rFonts w:cs="Arial"/>
          <w:b/>
          <w:sz w:val="22"/>
          <w:szCs w:val="22"/>
        </w:rPr>
        <w:t>(včetně již refundovaných)</w:t>
      </w:r>
      <w:r w:rsidR="00833A65" w:rsidRPr="00092613">
        <w:rPr>
          <w:rFonts w:cs="Arial"/>
          <w:b/>
          <w:sz w:val="22"/>
          <w:szCs w:val="22"/>
        </w:rPr>
        <w:t xml:space="preserve"> výdajů </w:t>
      </w:r>
      <w:r w:rsidR="00833A65">
        <w:rPr>
          <w:rFonts w:cs="Arial"/>
          <w:b/>
          <w:sz w:val="22"/>
          <w:szCs w:val="22"/>
        </w:rPr>
        <w:t xml:space="preserve">takových </w:t>
      </w:r>
      <w:r w:rsidR="00755390">
        <w:rPr>
          <w:rFonts w:cs="Arial"/>
          <w:b/>
          <w:sz w:val="22"/>
          <w:szCs w:val="22"/>
        </w:rPr>
        <w:t xml:space="preserve">nedokončených </w:t>
      </w:r>
      <w:r w:rsidR="00833A65">
        <w:rPr>
          <w:rFonts w:cs="Arial"/>
          <w:b/>
          <w:sz w:val="22"/>
          <w:szCs w:val="22"/>
        </w:rPr>
        <w:t xml:space="preserve">projektů </w:t>
      </w:r>
      <w:r w:rsidR="004F0D02">
        <w:rPr>
          <w:rFonts w:cs="Arial"/>
          <w:b/>
          <w:sz w:val="22"/>
          <w:szCs w:val="22"/>
        </w:rPr>
        <w:t>uhrazena příjemcem z vlastní rozpočtové kapitoly</w:t>
      </w:r>
      <w:r w:rsidR="00092613" w:rsidRPr="00092613">
        <w:rPr>
          <w:rFonts w:cs="Arial"/>
          <w:b/>
          <w:sz w:val="22"/>
          <w:szCs w:val="22"/>
        </w:rPr>
        <w:t>.</w:t>
      </w:r>
      <w:r w:rsidR="00092613">
        <w:rPr>
          <w:rFonts w:cs="Arial"/>
          <w:sz w:val="22"/>
          <w:szCs w:val="22"/>
        </w:rPr>
        <w:t xml:space="preserve"> </w:t>
      </w:r>
    </w:p>
    <w:p w:rsidR="002E44C1" w:rsidRDefault="002E44C1" w:rsidP="00CF466D">
      <w:pPr>
        <w:spacing w:line="276" w:lineRule="auto"/>
        <w:jc w:val="both"/>
        <w:rPr>
          <w:rFonts w:cs="Arial"/>
          <w:sz w:val="22"/>
          <w:szCs w:val="22"/>
        </w:rPr>
      </w:pPr>
    </w:p>
    <w:p w:rsidR="00507207" w:rsidRDefault="002E44C1" w:rsidP="00CF466D">
      <w:pPr>
        <w:spacing w:line="276" w:lineRule="auto"/>
        <w:jc w:val="both"/>
        <w:rPr>
          <w:rFonts w:cs="Arial"/>
          <w:sz w:val="22"/>
          <w:szCs w:val="22"/>
        </w:rPr>
      </w:pPr>
      <w:r>
        <w:rPr>
          <w:rFonts w:cs="Arial"/>
          <w:sz w:val="22"/>
          <w:szCs w:val="22"/>
        </w:rPr>
        <w:t xml:space="preserve">Možnou </w:t>
      </w:r>
      <w:r w:rsidR="00714EF5">
        <w:rPr>
          <w:rFonts w:cs="Arial"/>
          <w:sz w:val="22"/>
          <w:szCs w:val="22"/>
        </w:rPr>
        <w:t xml:space="preserve">alternativou pro </w:t>
      </w:r>
      <w:r w:rsidR="004F0D02">
        <w:rPr>
          <w:rFonts w:cs="Arial"/>
          <w:sz w:val="22"/>
          <w:szCs w:val="22"/>
        </w:rPr>
        <w:t xml:space="preserve">některé </w:t>
      </w:r>
      <w:r w:rsidR="00714EF5">
        <w:rPr>
          <w:rFonts w:cs="Arial"/>
          <w:sz w:val="22"/>
          <w:szCs w:val="22"/>
        </w:rPr>
        <w:t>příjemce, kteří</w:t>
      </w:r>
      <w:r>
        <w:rPr>
          <w:rFonts w:cs="Arial"/>
          <w:sz w:val="22"/>
          <w:szCs w:val="22"/>
        </w:rPr>
        <w:t xml:space="preserve"> nestihnou zrealizovat celý svůj projekt do konce roku 2015</w:t>
      </w:r>
      <w:r w:rsidR="000C79A7">
        <w:rPr>
          <w:rFonts w:cs="Arial"/>
          <w:sz w:val="22"/>
          <w:szCs w:val="22"/>
        </w:rPr>
        <w:t>,</w:t>
      </w:r>
      <w:r>
        <w:rPr>
          <w:rFonts w:cs="Arial"/>
          <w:sz w:val="22"/>
          <w:szCs w:val="22"/>
        </w:rPr>
        <w:t xml:space="preserve"> by bylo umožnění realizace varianty tzv. „nedokončených projektů“, kdy </w:t>
      </w:r>
      <w:r w:rsidR="00E4153C">
        <w:rPr>
          <w:rFonts w:cs="Arial"/>
          <w:sz w:val="22"/>
          <w:szCs w:val="22"/>
        </w:rPr>
        <w:t xml:space="preserve">by </w:t>
      </w:r>
      <w:r>
        <w:rPr>
          <w:rFonts w:cs="Arial"/>
          <w:sz w:val="22"/>
          <w:szCs w:val="22"/>
        </w:rPr>
        <w:t>zbývající část projektu příjemce zrealizoval za své prostředky i po konci roku 2015. Tato možnost je přípustná z hlediska evropských pravidel,</w:t>
      </w:r>
      <w:r w:rsidR="009041E1">
        <w:rPr>
          <w:rFonts w:cs="Arial"/>
          <w:sz w:val="22"/>
          <w:szCs w:val="22"/>
        </w:rPr>
        <w:t xml:space="preserve"> ve věci proveditelnosti z hlediska české </w:t>
      </w:r>
      <w:r w:rsidR="00B6200C">
        <w:rPr>
          <w:rFonts w:cs="Arial"/>
          <w:sz w:val="22"/>
          <w:szCs w:val="22"/>
        </w:rPr>
        <w:t>legislativy (rozpočtová</w:t>
      </w:r>
      <w:r w:rsidR="009041E1" w:rsidRPr="009041E1">
        <w:rPr>
          <w:rFonts w:cs="Arial"/>
          <w:sz w:val="22"/>
          <w:szCs w:val="22"/>
        </w:rPr>
        <w:t xml:space="preserve"> pravidla, zákon o finanční kontrole apod.</w:t>
      </w:r>
      <w:r w:rsidR="009041E1">
        <w:rPr>
          <w:rFonts w:cs="Arial"/>
          <w:sz w:val="22"/>
          <w:szCs w:val="22"/>
        </w:rPr>
        <w:t xml:space="preserve">) </w:t>
      </w:r>
      <w:r w:rsidR="00D321A2">
        <w:rPr>
          <w:rFonts w:cs="Arial"/>
          <w:sz w:val="22"/>
          <w:szCs w:val="22"/>
        </w:rPr>
        <w:t>prověřuje ŘO IOP</w:t>
      </w:r>
      <w:r w:rsidR="00390BE2">
        <w:rPr>
          <w:rFonts w:cs="Arial"/>
          <w:sz w:val="22"/>
          <w:szCs w:val="22"/>
        </w:rPr>
        <w:t xml:space="preserve"> možný způsob provedení. </w:t>
      </w:r>
    </w:p>
    <w:p w:rsidR="000C23EC" w:rsidRDefault="000C23EC" w:rsidP="00CF466D">
      <w:pPr>
        <w:spacing w:line="276" w:lineRule="auto"/>
        <w:jc w:val="both"/>
        <w:rPr>
          <w:rFonts w:cs="Arial"/>
          <w:sz w:val="22"/>
          <w:szCs w:val="22"/>
        </w:rPr>
      </w:pPr>
    </w:p>
    <w:p w:rsidR="00CF466D" w:rsidRPr="00111D78" w:rsidRDefault="000C1AA7" w:rsidP="00CF466D">
      <w:pPr>
        <w:spacing w:line="276" w:lineRule="auto"/>
        <w:jc w:val="both"/>
        <w:rPr>
          <w:rFonts w:cs="Arial"/>
        </w:rPr>
      </w:pPr>
      <w:r>
        <w:rPr>
          <w:rFonts w:cs="Arial"/>
          <w:sz w:val="22"/>
          <w:szCs w:val="22"/>
        </w:rPr>
        <w:t>ŘO IOP a ZS realizují</w:t>
      </w:r>
      <w:r w:rsidR="00183E8B">
        <w:rPr>
          <w:rFonts w:cs="Arial"/>
          <w:sz w:val="22"/>
          <w:szCs w:val="22"/>
        </w:rPr>
        <w:t xml:space="preserve"> i v roce 2015</w:t>
      </w:r>
      <w:r>
        <w:rPr>
          <w:rFonts w:cs="Arial"/>
          <w:sz w:val="22"/>
          <w:szCs w:val="22"/>
        </w:rPr>
        <w:t xml:space="preserve"> </w:t>
      </w:r>
      <w:r w:rsidR="007D76DB">
        <w:rPr>
          <w:rFonts w:cs="Arial"/>
          <w:sz w:val="22"/>
          <w:szCs w:val="22"/>
        </w:rPr>
        <w:t>další dílčí</w:t>
      </w:r>
      <w:r>
        <w:rPr>
          <w:rFonts w:cs="Arial"/>
          <w:sz w:val="22"/>
          <w:szCs w:val="22"/>
        </w:rPr>
        <w:t xml:space="preserve"> opatření v</w:t>
      </w:r>
      <w:r w:rsidR="00507207">
        <w:rPr>
          <w:rFonts w:cs="Arial"/>
          <w:sz w:val="22"/>
          <w:szCs w:val="22"/>
        </w:rPr>
        <w:t>e</w:t>
      </w:r>
      <w:r>
        <w:rPr>
          <w:rFonts w:cs="Arial"/>
          <w:sz w:val="22"/>
          <w:szCs w:val="22"/>
        </w:rPr>
        <w:t> </w:t>
      </w:r>
      <w:r w:rsidR="00507207">
        <w:rPr>
          <w:rFonts w:cs="Arial"/>
          <w:sz w:val="22"/>
          <w:szCs w:val="22"/>
        </w:rPr>
        <w:t xml:space="preserve">své </w:t>
      </w:r>
      <w:r>
        <w:rPr>
          <w:rFonts w:cs="Arial"/>
          <w:sz w:val="22"/>
          <w:szCs w:val="22"/>
        </w:rPr>
        <w:t xml:space="preserve">kompetenci, </w:t>
      </w:r>
      <w:r w:rsidR="00035661">
        <w:rPr>
          <w:rFonts w:cs="Arial"/>
          <w:sz w:val="22"/>
          <w:szCs w:val="22"/>
        </w:rPr>
        <w:t xml:space="preserve">která </w:t>
      </w:r>
      <w:r>
        <w:rPr>
          <w:rFonts w:cs="Arial"/>
          <w:sz w:val="22"/>
          <w:szCs w:val="22"/>
        </w:rPr>
        <w:t xml:space="preserve">mají minimalizovat ztrátu </w:t>
      </w:r>
      <w:r w:rsidR="00833A65">
        <w:rPr>
          <w:rFonts w:cs="Arial"/>
          <w:sz w:val="22"/>
          <w:szCs w:val="22"/>
        </w:rPr>
        <w:t xml:space="preserve">alokace </w:t>
      </w:r>
      <w:r w:rsidR="004F0D02">
        <w:rPr>
          <w:rFonts w:cs="Arial"/>
          <w:sz w:val="22"/>
          <w:szCs w:val="22"/>
        </w:rPr>
        <w:t xml:space="preserve">programu </w:t>
      </w:r>
      <w:r>
        <w:rPr>
          <w:rFonts w:cs="Arial"/>
          <w:sz w:val="22"/>
          <w:szCs w:val="22"/>
        </w:rPr>
        <w:t>v letošním roce</w:t>
      </w:r>
      <w:r w:rsidR="00FA03EE">
        <w:rPr>
          <w:rFonts w:cs="Arial"/>
          <w:sz w:val="22"/>
          <w:szCs w:val="22"/>
        </w:rPr>
        <w:t>.</w:t>
      </w:r>
      <w:r w:rsidR="0076144B">
        <w:rPr>
          <w:rFonts w:cs="Arial"/>
          <w:sz w:val="22"/>
          <w:szCs w:val="22"/>
        </w:rPr>
        <w:t xml:space="preserve"> Mezi </w:t>
      </w:r>
      <w:r w:rsidR="00A45E8F">
        <w:rPr>
          <w:rFonts w:cs="Arial"/>
          <w:sz w:val="22"/>
          <w:szCs w:val="22"/>
        </w:rPr>
        <w:t xml:space="preserve">klíčová </w:t>
      </w:r>
      <w:r w:rsidR="0076144B">
        <w:rPr>
          <w:rFonts w:cs="Arial"/>
          <w:sz w:val="22"/>
          <w:szCs w:val="22"/>
        </w:rPr>
        <w:t xml:space="preserve">opatření patří zkrácení lhůt administrace na ZS a ŘO IOP, zvýšená podpora příjemcům s přípravou a předběžnou kontrolou </w:t>
      </w:r>
      <w:r w:rsidR="00A45E8F">
        <w:rPr>
          <w:rFonts w:cs="Arial"/>
          <w:sz w:val="22"/>
          <w:szCs w:val="22"/>
        </w:rPr>
        <w:t xml:space="preserve">veřejných zakázek a </w:t>
      </w:r>
      <w:r w:rsidR="0076144B">
        <w:rPr>
          <w:rFonts w:cs="Arial"/>
          <w:sz w:val="22"/>
          <w:szCs w:val="22"/>
        </w:rPr>
        <w:t xml:space="preserve">žádostí o platbu. Tím </w:t>
      </w:r>
      <w:r w:rsidR="00656DAD">
        <w:rPr>
          <w:rFonts w:cs="Arial"/>
          <w:sz w:val="22"/>
          <w:szCs w:val="22"/>
        </w:rPr>
        <w:t>dochází</w:t>
      </w:r>
      <w:r w:rsidR="0076144B">
        <w:rPr>
          <w:rFonts w:cs="Arial"/>
          <w:sz w:val="22"/>
          <w:szCs w:val="22"/>
        </w:rPr>
        <w:t xml:space="preserve"> k prodloužení nejzazšího termínu pro </w:t>
      </w:r>
      <w:r w:rsidR="005544EC">
        <w:rPr>
          <w:rFonts w:cs="Arial"/>
          <w:sz w:val="22"/>
          <w:szCs w:val="22"/>
        </w:rPr>
        <w:t>přijetí a proplacení žádostí o platbu</w:t>
      </w:r>
      <w:r w:rsidR="00714EF5">
        <w:rPr>
          <w:rFonts w:cs="Arial"/>
          <w:sz w:val="22"/>
          <w:szCs w:val="22"/>
        </w:rPr>
        <w:t xml:space="preserve"> od příjemců a tedy maximalizaci</w:t>
      </w:r>
      <w:r w:rsidR="005544EC">
        <w:rPr>
          <w:rFonts w:cs="Arial"/>
          <w:sz w:val="22"/>
          <w:szCs w:val="22"/>
        </w:rPr>
        <w:t xml:space="preserve"> objemu výdajů, které budou certifikovány. </w:t>
      </w:r>
    </w:p>
    <w:p w:rsidR="00B44B48" w:rsidRPr="00111D78" w:rsidRDefault="00B44B48">
      <w:pPr>
        <w:rPr>
          <w:rFonts w:cs="Arial"/>
        </w:rPr>
        <w:sectPr w:rsidR="00B44B48" w:rsidRPr="00111D78" w:rsidSect="006A4216">
          <w:headerReference w:type="default" r:id="rId10"/>
          <w:footerReference w:type="default" r:id="rId11"/>
          <w:pgSz w:w="11906" w:h="16838"/>
          <w:pgMar w:top="1417" w:right="1417" w:bottom="1417" w:left="1417" w:header="708" w:footer="708" w:gutter="0"/>
          <w:cols w:space="708"/>
          <w:docGrid w:linePitch="360"/>
        </w:sectPr>
      </w:pPr>
    </w:p>
    <w:p w:rsidR="00FC0A33" w:rsidRPr="00A33A85" w:rsidRDefault="00FC0A33" w:rsidP="00A33A85">
      <w:pPr>
        <w:jc w:val="both"/>
        <w:rPr>
          <w:rFonts w:cs="Arial"/>
          <w:b/>
          <w:sz w:val="22"/>
          <w:szCs w:val="22"/>
        </w:rPr>
      </w:pPr>
    </w:p>
    <w:p w:rsidR="00D455D1" w:rsidRPr="00D455D1" w:rsidRDefault="00D455D1" w:rsidP="00D455D1">
      <w:pPr>
        <w:jc w:val="both"/>
        <w:rPr>
          <w:rFonts w:eastAsiaTheme="majorEastAsia" w:cstheme="majorBidi"/>
          <w:b/>
          <w:bCs/>
          <w:sz w:val="28"/>
          <w:szCs w:val="28"/>
        </w:rPr>
      </w:pPr>
      <w:r w:rsidRPr="00D455D1">
        <w:rPr>
          <w:rFonts w:cs="Arial"/>
          <w:b/>
          <w:sz w:val="28"/>
          <w:szCs w:val="28"/>
        </w:rPr>
        <w:t>Příloha č. 1</w:t>
      </w:r>
      <w:r w:rsidRPr="00D455D1">
        <w:rPr>
          <w:rFonts w:cs="Arial"/>
          <w:b/>
          <w:sz w:val="22"/>
          <w:szCs w:val="22"/>
        </w:rPr>
        <w:t xml:space="preserve"> </w:t>
      </w:r>
      <w:r w:rsidRPr="00D455D1">
        <w:rPr>
          <w:rFonts w:eastAsiaTheme="majorEastAsia" w:cstheme="majorBidi"/>
          <w:b/>
          <w:bCs/>
          <w:sz w:val="28"/>
          <w:szCs w:val="28"/>
        </w:rPr>
        <w:t>Seznam problémových projektů v IOP k </w:t>
      </w:r>
      <w:r w:rsidR="002822AC">
        <w:rPr>
          <w:rFonts w:eastAsiaTheme="majorEastAsia" w:cstheme="majorBidi"/>
          <w:b/>
          <w:bCs/>
          <w:sz w:val="28"/>
          <w:szCs w:val="28"/>
        </w:rPr>
        <w:t>1</w:t>
      </w:r>
      <w:r w:rsidRPr="00D455D1">
        <w:rPr>
          <w:rFonts w:eastAsiaTheme="majorEastAsia" w:cstheme="majorBidi"/>
          <w:b/>
          <w:bCs/>
          <w:sz w:val="28"/>
          <w:szCs w:val="28"/>
        </w:rPr>
        <w:t xml:space="preserve">. </w:t>
      </w:r>
      <w:r w:rsidR="006820FD">
        <w:rPr>
          <w:rFonts w:eastAsiaTheme="majorEastAsia" w:cstheme="majorBidi"/>
          <w:b/>
          <w:bCs/>
          <w:sz w:val="28"/>
          <w:szCs w:val="28"/>
        </w:rPr>
        <w:t>7</w:t>
      </w:r>
      <w:r w:rsidRPr="00D455D1">
        <w:rPr>
          <w:rFonts w:eastAsiaTheme="majorEastAsia" w:cstheme="majorBidi"/>
          <w:b/>
          <w:bCs/>
          <w:sz w:val="28"/>
          <w:szCs w:val="28"/>
        </w:rPr>
        <w:t>. 2015</w:t>
      </w:r>
    </w:p>
    <w:p w:rsidR="001E7B5C" w:rsidRDefault="001E7B5C" w:rsidP="00D944D2">
      <w:pPr>
        <w:spacing w:after="200" w:line="276" w:lineRule="auto"/>
        <w:rPr>
          <w:rFonts w:asciiTheme="minorHAnsi" w:eastAsiaTheme="minorHAnsi" w:hAnsiTheme="minorHAnsi" w:cstheme="minorBidi"/>
          <w:b/>
          <w:sz w:val="26"/>
          <w:szCs w:val="26"/>
          <w:lang w:eastAsia="en-US"/>
        </w:rPr>
      </w:pPr>
    </w:p>
    <w:p w:rsidR="00D944D2" w:rsidRPr="00126D7F" w:rsidRDefault="00D944D2" w:rsidP="00D944D2">
      <w:pPr>
        <w:spacing w:after="200" w:line="276" w:lineRule="auto"/>
        <w:rPr>
          <w:rFonts w:asciiTheme="minorHAnsi" w:eastAsiaTheme="minorHAnsi" w:hAnsiTheme="minorHAnsi" w:cstheme="minorBidi"/>
          <w:b/>
          <w:sz w:val="26"/>
          <w:szCs w:val="26"/>
          <w:lang w:val="en-US" w:eastAsia="en-US"/>
        </w:rPr>
      </w:pPr>
      <w:r w:rsidRPr="00D944D2">
        <w:rPr>
          <w:rFonts w:asciiTheme="minorHAnsi" w:eastAsiaTheme="minorHAnsi" w:hAnsiTheme="minorHAnsi" w:cstheme="minorBidi"/>
          <w:b/>
          <w:sz w:val="26"/>
          <w:szCs w:val="26"/>
          <w:lang w:eastAsia="en-US"/>
        </w:rPr>
        <w:t xml:space="preserve">Vysoce rizikové projekty </w:t>
      </w:r>
    </w:p>
    <w:tbl>
      <w:tblPr>
        <w:tblW w:w="15145" w:type="dxa"/>
        <w:jc w:val="center"/>
        <w:tblCellMar>
          <w:left w:w="0" w:type="dxa"/>
          <w:right w:w="0" w:type="dxa"/>
        </w:tblCellMar>
        <w:tblLook w:val="04A0" w:firstRow="1" w:lastRow="0" w:firstColumn="1" w:lastColumn="0" w:noHBand="0" w:noVBand="1"/>
      </w:tblPr>
      <w:tblGrid>
        <w:gridCol w:w="2041"/>
        <w:gridCol w:w="2173"/>
        <w:gridCol w:w="1641"/>
        <w:gridCol w:w="973"/>
        <w:gridCol w:w="1134"/>
        <w:gridCol w:w="1701"/>
        <w:gridCol w:w="1875"/>
        <w:gridCol w:w="1383"/>
        <w:gridCol w:w="1068"/>
        <w:gridCol w:w="1156"/>
      </w:tblGrid>
      <w:tr w:rsidR="00F644A3" w:rsidTr="00753759">
        <w:trPr>
          <w:trHeight w:val="1020"/>
          <w:jc w:val="center"/>
        </w:trPr>
        <w:tc>
          <w:tcPr>
            <w:tcW w:w="2065"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Název projektu</w:t>
            </w:r>
          </w:p>
        </w:tc>
        <w:tc>
          <w:tcPr>
            <w:tcW w:w="218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rPr>
                <w:rFonts w:cs="Arial"/>
                <w:b/>
                <w:bCs/>
                <w:color w:val="000000"/>
              </w:rPr>
            </w:pPr>
            <w:r>
              <w:rPr>
                <w:rFonts w:cs="Arial"/>
                <w:b/>
                <w:bCs/>
                <w:color w:val="000000"/>
              </w:rPr>
              <w:t>Reg. číslo projektu</w:t>
            </w:r>
          </w:p>
        </w:tc>
        <w:tc>
          <w:tcPr>
            <w:tcW w:w="1643"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Název žadatele</w:t>
            </w:r>
          </w:p>
        </w:tc>
        <w:tc>
          <w:tcPr>
            <w:tcW w:w="973"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Oblast podpory</w:t>
            </w:r>
          </w:p>
        </w:tc>
        <w:tc>
          <w:tcPr>
            <w:tcW w:w="1134"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Plánované datum ukončení projektu</w:t>
            </w:r>
          </w:p>
        </w:tc>
        <w:tc>
          <w:tcPr>
            <w:tcW w:w="1701"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 xml:space="preserve">SF+SR rozhodnutí v Kč </w:t>
            </w:r>
          </w:p>
        </w:tc>
        <w:tc>
          <w:tcPr>
            <w:tcW w:w="1911"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F644A3" w:rsidRDefault="00F644A3">
            <w:pPr>
              <w:jc w:val="center"/>
              <w:rPr>
                <w:rFonts w:cs="Arial"/>
                <w:b/>
                <w:bCs/>
                <w:color w:val="000000"/>
              </w:rPr>
            </w:pPr>
            <w:r>
              <w:rPr>
                <w:rFonts w:cs="Arial"/>
                <w:b/>
                <w:bCs/>
                <w:color w:val="000000"/>
              </w:rPr>
              <w:t>Aktuální problémy projektu</w:t>
            </w:r>
          </w:p>
        </w:tc>
        <w:tc>
          <w:tcPr>
            <w:tcW w:w="1394" w:type="dxa"/>
            <w:tcBorders>
              <w:top w:val="single" w:sz="4" w:space="0" w:color="auto"/>
              <w:left w:val="nil"/>
              <w:bottom w:val="single" w:sz="4" w:space="0" w:color="auto"/>
              <w:right w:val="single" w:sz="4" w:space="0" w:color="auto"/>
            </w:tcBorders>
            <w:shd w:val="clear" w:color="000000" w:fill="C0C0C0"/>
            <w:vAlign w:val="center"/>
          </w:tcPr>
          <w:p w:rsidR="00F644A3" w:rsidRDefault="00F644A3" w:rsidP="009917EF">
            <w:pPr>
              <w:jc w:val="center"/>
              <w:rPr>
                <w:rFonts w:cs="Arial"/>
                <w:b/>
                <w:bCs/>
                <w:color w:val="000000"/>
              </w:rPr>
            </w:pPr>
            <w:r>
              <w:rPr>
                <w:rFonts w:cs="Arial"/>
                <w:b/>
                <w:bCs/>
                <w:color w:val="000000"/>
              </w:rPr>
              <w:t>Posun</w:t>
            </w:r>
            <w:r>
              <w:rPr>
                <w:rFonts w:eastAsiaTheme="majorEastAsia" w:cstheme="majorBidi"/>
                <w:b/>
                <w:bCs/>
                <w:sz w:val="28"/>
                <w:szCs w:val="28"/>
              </w:rPr>
              <w:t xml:space="preserve"> </w:t>
            </w:r>
            <w:r>
              <w:rPr>
                <w:rFonts w:cs="Arial"/>
                <w:b/>
                <w:bCs/>
                <w:color w:val="000000"/>
              </w:rPr>
              <w:t>v</w:t>
            </w:r>
            <w:r w:rsidRPr="00D455D1">
              <w:rPr>
                <w:rFonts w:eastAsiaTheme="majorEastAsia" w:cstheme="majorBidi"/>
                <w:b/>
                <w:bCs/>
                <w:sz w:val="28"/>
                <w:szCs w:val="28"/>
              </w:rPr>
              <w:t> </w:t>
            </w:r>
            <w:r>
              <w:rPr>
                <w:rFonts w:cs="Arial"/>
                <w:b/>
                <w:bCs/>
                <w:color w:val="000000"/>
              </w:rPr>
              <w:t>rizikovosti</w:t>
            </w:r>
          </w:p>
        </w:tc>
        <w:tc>
          <w:tcPr>
            <w:tcW w:w="1072" w:type="dxa"/>
            <w:tcBorders>
              <w:top w:val="single" w:sz="4" w:space="0" w:color="auto"/>
              <w:left w:val="nil"/>
              <w:bottom w:val="single" w:sz="4" w:space="0" w:color="auto"/>
              <w:right w:val="single" w:sz="4" w:space="0" w:color="auto"/>
            </w:tcBorders>
            <w:shd w:val="clear" w:color="000000" w:fill="C0C0C0"/>
            <w:vAlign w:val="center"/>
          </w:tcPr>
          <w:p w:rsidR="00F644A3" w:rsidRPr="00FC0A33" w:rsidRDefault="00F644A3" w:rsidP="000525B1">
            <w:pPr>
              <w:jc w:val="center"/>
              <w:rPr>
                <w:rFonts w:cs="Arial"/>
                <w:b/>
                <w:bCs/>
                <w:color w:val="000000"/>
              </w:rPr>
            </w:pPr>
            <w:r>
              <w:rPr>
                <w:rFonts w:cs="Arial"/>
                <w:b/>
                <w:bCs/>
                <w:color w:val="000000"/>
              </w:rPr>
              <w:t>Parametr</w:t>
            </w:r>
            <w:r w:rsidR="000525B1">
              <w:rPr>
                <w:rFonts w:cs="Arial"/>
                <w:b/>
                <w:bCs/>
                <w:color w:val="000000"/>
              </w:rPr>
              <w:t>y</w:t>
            </w:r>
            <w:r>
              <w:rPr>
                <w:rFonts w:cs="Arial"/>
                <w:b/>
                <w:bCs/>
                <w:color w:val="000000"/>
              </w:rPr>
              <w:t xml:space="preserve"> rizikovosti</w:t>
            </w:r>
            <w:r w:rsidR="000525B1">
              <w:rPr>
                <w:rFonts w:cs="Arial"/>
                <w:b/>
                <w:bCs/>
                <w:color w:val="000000"/>
              </w:rPr>
              <w:t xml:space="preserve"> k 1.4. / 1.7. </w:t>
            </w:r>
          </w:p>
        </w:tc>
        <w:tc>
          <w:tcPr>
            <w:tcW w:w="1072" w:type="dxa"/>
            <w:tcBorders>
              <w:top w:val="single" w:sz="4" w:space="0" w:color="auto"/>
              <w:left w:val="nil"/>
              <w:bottom w:val="single" w:sz="4" w:space="0" w:color="auto"/>
              <w:right w:val="single" w:sz="4" w:space="0" w:color="auto"/>
            </w:tcBorders>
            <w:shd w:val="clear" w:color="000000" w:fill="C0C0C0"/>
            <w:vAlign w:val="center"/>
          </w:tcPr>
          <w:p w:rsidR="00F644A3" w:rsidRDefault="00F644A3" w:rsidP="00914075">
            <w:pPr>
              <w:jc w:val="center"/>
              <w:rPr>
                <w:rFonts w:cs="Arial"/>
                <w:b/>
                <w:bCs/>
                <w:color w:val="000000"/>
              </w:rPr>
            </w:pPr>
            <w:r>
              <w:rPr>
                <w:rFonts w:cs="Arial"/>
                <w:b/>
                <w:bCs/>
                <w:color w:val="000000"/>
              </w:rPr>
              <w:t>Počet výskytů v rizikových projektech</w:t>
            </w:r>
            <w:r>
              <w:rPr>
                <w:rStyle w:val="Znakapoznpodarou"/>
                <w:rFonts w:cs="Arial"/>
                <w:b/>
                <w:bCs/>
                <w:color w:val="000000"/>
              </w:rPr>
              <w:footnoteReference w:id="1"/>
            </w:r>
          </w:p>
        </w:tc>
      </w:tr>
      <w:tr w:rsidR="00F644A3" w:rsidTr="005D13D5">
        <w:trPr>
          <w:trHeight w:val="96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Fakultní nemocnice Plzeň - nadzemní heliport HEMS</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CZ.1.06/3.4.00/15.08479</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Fakultní nemocnice Plzeň</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29 750 000,00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VŘ ukončena, termín plnění dle SOD na stavební práce přesahuje maximální termín ukončení realizace projektu stanovený výzvou</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601D25"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2</w:t>
            </w:r>
            <w:r w:rsidR="00067B0A">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51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Integrace informačních systémů statutárního města Jihlavy</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CZ.1.06/2.1.00/09.07342</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Statutární město Jihlava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12 631 000,00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Zpoždění harmonogramu, riziko, že všech pět VŘ se nezrealizuje do 30. 11. 2015.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601D25" w:rsidP="005E1956">
            <w:pPr>
              <w:jc w:val="center"/>
              <w:rPr>
                <w:rFonts w:ascii="Calibri" w:hAnsi="Calibri"/>
                <w:sz w:val="18"/>
                <w:szCs w:val="18"/>
              </w:rPr>
            </w:pPr>
            <w:r>
              <w:rPr>
                <w:rFonts w:ascii="Calibri" w:hAnsi="Calibri"/>
                <w:sz w:val="18"/>
                <w:szCs w:val="18"/>
              </w:rPr>
              <w:t>6</w:t>
            </w:r>
            <w:r w:rsidR="00964DC3">
              <w:rPr>
                <w:rFonts w:ascii="Calibri" w:hAnsi="Calibri"/>
                <w:sz w:val="18"/>
                <w:szCs w:val="18"/>
              </w:rPr>
              <w:t>,7</w:t>
            </w:r>
            <w:r w:rsidR="000525B1">
              <w:rPr>
                <w:rFonts w:ascii="Calibri" w:hAnsi="Calibri"/>
                <w:sz w:val="18"/>
                <w:szCs w:val="18"/>
              </w:rPr>
              <w:t>/</w:t>
            </w:r>
            <w:r w:rsidR="00F644A3">
              <w:rPr>
                <w:rFonts w:ascii="Calibri" w:hAnsi="Calibri"/>
                <w:sz w:val="18"/>
                <w:szCs w:val="18"/>
              </w:rPr>
              <w:t>2,</w:t>
            </w:r>
            <w:r w:rsidR="00067B0A">
              <w:rPr>
                <w:rFonts w:ascii="Calibri" w:hAnsi="Calibri"/>
                <w:sz w:val="18"/>
                <w:szCs w:val="18"/>
              </w:rPr>
              <w:t>6,</w:t>
            </w:r>
            <w:r w:rsidR="00F644A3">
              <w:rPr>
                <w:rFonts w:ascii="Calibri" w:hAnsi="Calibri"/>
                <w:sz w:val="18"/>
                <w:szCs w:val="18"/>
              </w:rPr>
              <w:t>7</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sz w:val="18"/>
                <w:szCs w:val="18"/>
              </w:rPr>
            </w:pPr>
            <w:r>
              <w:rPr>
                <w:rFonts w:ascii="Calibri" w:hAnsi="Calibri"/>
                <w:sz w:val="18"/>
                <w:szCs w:val="18"/>
              </w:rPr>
              <w:t>3</w:t>
            </w:r>
          </w:p>
        </w:tc>
      </w:tr>
      <w:tr w:rsidR="00F644A3" w:rsidTr="005D13D5">
        <w:trPr>
          <w:trHeight w:val="19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Klíč k památkám</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CZ.1.06/4.1.00/12.08199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kultury</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6.4.1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21 496 806,00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Neplnění harmonogramu projektu a přesouvání aktivit a finančních prostředků do následujících etap projektu. Důvodem je špatná příprava, resp. nastavení aktivit a harmonogramu projektu (v průběhu realizace upraveno), časté změny projektového týmu. Dosud neukončená VŘ a </w:t>
            </w:r>
            <w:r>
              <w:rPr>
                <w:rFonts w:ascii="Calibri" w:hAnsi="Calibri"/>
                <w:color w:val="000000"/>
                <w:sz w:val="18"/>
                <w:szCs w:val="18"/>
              </w:rPr>
              <w:lastRenderedPageBreak/>
              <w:t xml:space="preserve">od 6/2015 nový projektový manažer.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361E73">
              <w:rPr>
                <w:rFonts w:ascii="Calibri" w:hAnsi="Calibri"/>
                <w:color w:val="000000"/>
                <w:sz w:val="48"/>
                <w:szCs w:val="18"/>
              </w:rPr>
              <w:lastRenderedPageBreak/>
              <w:t>=</w:t>
            </w:r>
          </w:p>
        </w:tc>
        <w:tc>
          <w:tcPr>
            <w:tcW w:w="1072" w:type="dxa"/>
            <w:tcBorders>
              <w:top w:val="nil"/>
              <w:left w:val="nil"/>
              <w:bottom w:val="single" w:sz="4" w:space="0" w:color="auto"/>
              <w:right w:val="single" w:sz="4" w:space="0" w:color="auto"/>
            </w:tcBorders>
            <w:vAlign w:val="center"/>
          </w:tcPr>
          <w:p w:rsidR="00F644A3" w:rsidRDefault="00721F72" w:rsidP="005E1956">
            <w:pPr>
              <w:jc w:val="center"/>
              <w:rPr>
                <w:rFonts w:ascii="Calibri" w:hAnsi="Calibri"/>
                <w:color w:val="000000"/>
                <w:sz w:val="18"/>
                <w:szCs w:val="18"/>
              </w:rPr>
            </w:pPr>
            <w:r>
              <w:rPr>
                <w:rFonts w:ascii="Calibri" w:hAnsi="Calibri"/>
                <w:color w:val="000000"/>
                <w:sz w:val="18"/>
                <w:szCs w:val="18"/>
              </w:rPr>
              <w:t>2</w:t>
            </w:r>
            <w:r w:rsidR="00964DC3">
              <w:rPr>
                <w:rFonts w:ascii="Calibri" w:hAnsi="Calibri"/>
                <w:color w:val="000000"/>
                <w:sz w:val="18"/>
                <w:szCs w:val="18"/>
              </w:rPr>
              <w:t>,3</w:t>
            </w:r>
            <w:r>
              <w:rPr>
                <w:rFonts w:ascii="Calibri" w:hAnsi="Calibri"/>
                <w:color w:val="000000"/>
                <w:sz w:val="18"/>
                <w:szCs w:val="18"/>
              </w:rPr>
              <w:t>/</w:t>
            </w:r>
            <w:r w:rsidR="00F644A3">
              <w:rPr>
                <w:rFonts w:ascii="Calibri" w:hAnsi="Calibri"/>
                <w:color w:val="000000"/>
                <w:sz w:val="18"/>
                <w:szCs w:val="18"/>
              </w:rPr>
              <w:t>2,6,7</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4</w:t>
            </w:r>
          </w:p>
        </w:tc>
      </w:tr>
      <w:tr w:rsidR="00F644A3" w:rsidTr="005D13D5">
        <w:trPr>
          <w:trHeight w:val="192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Klíč k památkám</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CZ.1.06/4.1.00/12.08198</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kultury</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6.4.1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1 653 598,00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Neplnění harmonogramu projektu a přesouvání aktivit a finančních prostředků do následujících etap projektu. Důvodem je špatná příprava, resp. nastavení aktivit a harmonogramu projektu (v průběhu realizace upraveno), časté změny projektového týmu. Dosud neukončená VŘ a od 6/2015 nový projektový manažer.  </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361E73">
              <w:rPr>
                <w:rFonts w:ascii="Calibri" w:hAnsi="Calibri"/>
                <w:color w:val="000000"/>
                <w:sz w:val="4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721F72" w:rsidP="005E1956">
            <w:pPr>
              <w:jc w:val="center"/>
              <w:rPr>
                <w:rFonts w:ascii="Calibri" w:hAnsi="Calibri"/>
                <w:color w:val="000000"/>
                <w:sz w:val="18"/>
                <w:szCs w:val="18"/>
              </w:rPr>
            </w:pPr>
            <w:r>
              <w:rPr>
                <w:rFonts w:ascii="Calibri" w:hAnsi="Calibri"/>
                <w:color w:val="000000"/>
                <w:sz w:val="18"/>
                <w:szCs w:val="18"/>
              </w:rPr>
              <w:t>2</w:t>
            </w:r>
            <w:r w:rsidR="00964DC3">
              <w:rPr>
                <w:rFonts w:ascii="Calibri" w:hAnsi="Calibri"/>
                <w:color w:val="000000"/>
                <w:sz w:val="18"/>
                <w:szCs w:val="18"/>
              </w:rPr>
              <w:t>,3</w:t>
            </w:r>
            <w:r>
              <w:rPr>
                <w:rFonts w:ascii="Calibri" w:hAnsi="Calibri"/>
                <w:color w:val="000000"/>
                <w:sz w:val="18"/>
                <w:szCs w:val="18"/>
              </w:rPr>
              <w:t>/</w:t>
            </w:r>
            <w:r w:rsidR="00F644A3">
              <w:rPr>
                <w:rFonts w:ascii="Calibri" w:hAnsi="Calibri"/>
                <w:color w:val="000000"/>
                <w:sz w:val="18"/>
                <w:szCs w:val="18"/>
              </w:rPr>
              <w:t>2,6,7</w:t>
            </w:r>
          </w:p>
        </w:tc>
        <w:tc>
          <w:tcPr>
            <w:tcW w:w="1072" w:type="dxa"/>
            <w:tcBorders>
              <w:top w:val="single" w:sz="4" w:space="0" w:color="auto"/>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4</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HW a SW Magistrátu města Jihlavy, zvýšení bezpečnosti</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CZ.1.06/2.1.00/22.09614</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Statutární město Jihlava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30.10.2015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4 241 372,00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nedokončeno podlimitní ZŘ na dodávku HW a SW - vyhlášeno se zpožděním o 3 m oproti harmonogramu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E59C8" w:rsidP="005E1956">
            <w:pPr>
              <w:jc w:val="center"/>
              <w:rPr>
                <w:rFonts w:ascii="Calibri" w:hAnsi="Calibri"/>
                <w:color w:val="000000"/>
                <w:sz w:val="18"/>
                <w:szCs w:val="18"/>
              </w:rPr>
            </w:pPr>
            <w:r>
              <w:rPr>
                <w:rFonts w:ascii="Calibri" w:hAnsi="Calibri"/>
                <w:color w:val="000000"/>
                <w:sz w:val="18"/>
                <w:szCs w:val="18"/>
              </w:rPr>
              <w:t>-</w:t>
            </w:r>
            <w:r w:rsidR="00F43E4B">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20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HW a SW úřadu, zvýšení zabezpečení a elektronizace agend statutárního města Pardubice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CZ.1.06/2.1.00/22.09439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Statutární město Pardubice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4 504 150,00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nadlim VŘ na konsolidaci HW a SW úřadu, nyní probíhá kontrola dokumentace před podpisem SoD, zpoždění o cca 2 měsíce oproti harmonogramu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F644A3">
              <w:rPr>
                <w:rFonts w:ascii="Calibri" w:hAnsi="Calibri"/>
                <w:color w:val="000000"/>
                <w:sz w:val="18"/>
                <w:szCs w:val="18"/>
              </w:rPr>
              <w:t>3,</w:t>
            </w:r>
            <w:r w:rsidR="00067B0A">
              <w:rPr>
                <w:rFonts w:ascii="Calibri" w:hAnsi="Calibri"/>
                <w:color w:val="000000"/>
                <w:sz w:val="18"/>
                <w:szCs w:val="18"/>
              </w:rPr>
              <w:t>6,</w:t>
            </w:r>
            <w:r w:rsidR="00F644A3">
              <w:rPr>
                <w:rFonts w:ascii="Calibri" w:hAnsi="Calibri"/>
                <w:color w:val="000000"/>
                <w:sz w:val="18"/>
                <w:szCs w:val="18"/>
              </w:rPr>
              <w:t>8</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44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datového centra MěÚ Kojetín</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CZ.1.06/2.1.00/22.09451</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Kojetín</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16.11.2015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3 343 050,00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nedokončeno podlimitní ZŘ na konsolidaci IT - na základě nově provedeného průzkumu trhu dochází ke změnám v implementaci; </w:t>
            </w:r>
            <w:r>
              <w:rPr>
                <w:rFonts w:ascii="Calibri" w:hAnsi="Calibri"/>
                <w:color w:val="000000"/>
                <w:sz w:val="18"/>
                <w:szCs w:val="18"/>
              </w:rPr>
              <w:lastRenderedPageBreak/>
              <w:t>aktuálně probíhá konzultace k předložené ZD, zpoždění ve vyhlášení ZŘ o cca 1 m</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lastRenderedPageBreak/>
              <w:t>Nově zařazen</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067B0A">
              <w:rPr>
                <w:rFonts w:ascii="Calibri" w:hAnsi="Calibri"/>
                <w:color w:val="000000"/>
                <w:sz w:val="18"/>
                <w:szCs w:val="18"/>
              </w:rPr>
              <w:t>6,</w:t>
            </w:r>
            <w:r w:rsidR="00F644A3">
              <w:rPr>
                <w:rFonts w:ascii="Calibri" w:hAnsi="Calibri"/>
                <w:color w:val="000000"/>
                <w:sz w:val="18"/>
                <w:szCs w:val="18"/>
              </w:rPr>
              <w:t>8</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Konsolidace IT a nové služby TC obcí - Město Bystřice nad Pernštejnem</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CZ.1.06/2.1.00/22.09620</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Bystřice nad Pernštejnem</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5 100 000,00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podlimitní ZŘ na dodávku SW modulů a podlim ZŘ na konsolidaci HW a SW úřadu - nepředložena ZD - nedodržen harmonogram projektu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E59C8" w:rsidP="005E1956">
            <w:pPr>
              <w:jc w:val="center"/>
              <w:rPr>
                <w:rFonts w:ascii="Calibri" w:hAnsi="Calibri"/>
                <w:color w:val="000000"/>
                <w:sz w:val="18"/>
                <w:szCs w:val="18"/>
              </w:rPr>
            </w:pPr>
            <w:r>
              <w:rPr>
                <w:rFonts w:ascii="Calibri" w:hAnsi="Calibri"/>
                <w:color w:val="000000"/>
                <w:sz w:val="18"/>
                <w:szCs w:val="18"/>
              </w:rPr>
              <w:t>-</w:t>
            </w:r>
            <w:r w:rsidR="001D04F1">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Horšovský Týn</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CZ.1.06/2.1.00/22.09507</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Horšovský Týn</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3 137 171,00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nepředložena ZD k podlimitnímu VŘ konsolidace IT, špatná komunikace s příjemcem, Hlášení o pokroku předloženo až po dvou urgencích CRR</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E59C8" w:rsidP="005E1956">
            <w:pPr>
              <w:jc w:val="center"/>
              <w:rPr>
                <w:rFonts w:ascii="Calibri" w:hAnsi="Calibri"/>
                <w:color w:val="000000"/>
                <w:sz w:val="18"/>
                <w:szCs w:val="18"/>
              </w:rPr>
            </w:pPr>
            <w:r>
              <w:rPr>
                <w:rFonts w:ascii="Calibri" w:hAnsi="Calibri"/>
                <w:color w:val="000000"/>
                <w:sz w:val="18"/>
                <w:szCs w:val="18"/>
              </w:rPr>
              <w:t>-</w:t>
            </w:r>
            <w:r w:rsidR="001D04F1">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7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Hořovice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CZ.1.06/2.1.00/22.09445</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Hořovice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28.8.2015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5 100 000,00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nebylo ukončeno nadlimitní VŘ, termín realizace projektu prodloužen do 27.11.</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F644A3">
              <w:rPr>
                <w:rFonts w:ascii="Calibri" w:hAnsi="Calibri"/>
                <w:color w:val="000000"/>
                <w:sz w:val="18"/>
                <w:szCs w:val="18"/>
              </w:rPr>
              <w:t>3</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20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Litomyšl</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CZ.1.06/2.1.00/22.09536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Litomyšl</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3 337 547,00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podlim ZŘ na konsolidaci IT - probíhá kontrola dokumentace před podpisem SoD (vráceno zadavateli) a podlim ZŘ na zabezpečení serverovny, zatím nevyhlášeno</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E59C8" w:rsidP="005E1956">
            <w:pPr>
              <w:jc w:val="center"/>
              <w:rPr>
                <w:rFonts w:ascii="Calibri" w:hAnsi="Calibri"/>
                <w:color w:val="000000"/>
                <w:sz w:val="18"/>
                <w:szCs w:val="18"/>
              </w:rPr>
            </w:pPr>
            <w:r>
              <w:rPr>
                <w:rFonts w:ascii="Calibri" w:hAnsi="Calibri"/>
                <w:color w:val="000000"/>
                <w:sz w:val="18"/>
                <w:szCs w:val="18"/>
              </w:rPr>
              <w:t>-</w:t>
            </w:r>
            <w:r w:rsidR="001D04F1">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51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Mělník</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CZ.1.06/2.1.00/22.09426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Mělník</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20.11.2015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5 100 000,00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E59C8" w:rsidP="005E1956">
            <w:pPr>
              <w:jc w:val="center"/>
              <w:rPr>
                <w:rFonts w:ascii="Calibri" w:hAnsi="Calibri"/>
                <w:color w:val="000000"/>
                <w:sz w:val="18"/>
                <w:szCs w:val="18"/>
              </w:rPr>
            </w:pPr>
            <w:r>
              <w:rPr>
                <w:rFonts w:ascii="Calibri" w:hAnsi="Calibri"/>
                <w:color w:val="000000"/>
                <w:sz w:val="18"/>
                <w:szCs w:val="18"/>
              </w:rPr>
              <w:t>-</w:t>
            </w:r>
            <w:r w:rsidR="001D04F1">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Šumperk</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CZ.1.06/2.1.00/22.09446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Šumperk</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28.8.2015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5 099 303,00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dosud neukončeno nadlim ZŘ na konsolidaci IT (opak. VŘ), ZD schválena 8. 6. 2015 - prodloužení realizace projektu o 3 m do 30. 11. </w:t>
            </w:r>
            <w:r>
              <w:rPr>
                <w:rFonts w:ascii="Calibri" w:hAnsi="Calibri"/>
                <w:color w:val="000000"/>
                <w:sz w:val="18"/>
                <w:szCs w:val="18"/>
              </w:rPr>
              <w:lastRenderedPageBreak/>
              <w:t>2015</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lastRenderedPageBreak/>
              <w:t>Nově zařazen</w:t>
            </w:r>
          </w:p>
        </w:tc>
        <w:tc>
          <w:tcPr>
            <w:tcW w:w="1072" w:type="dxa"/>
            <w:tcBorders>
              <w:top w:val="nil"/>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w:t>
            </w:r>
            <w:r w:rsidR="00D40952">
              <w:rPr>
                <w:rFonts w:ascii="Calibri" w:hAnsi="Calibri"/>
                <w:color w:val="000000"/>
                <w:sz w:val="18"/>
                <w:szCs w:val="18"/>
              </w:rPr>
              <w:t>/-</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Konsolidace IT a nové služby TC ORP Uherské Hradiště</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CZ.1.06/2.1.00/22.09540</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Uherské Hradiště</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4 992 220,00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nadlim ZŘ konsolidace IT, předpoklad dokončení 07/2015 - nutné opakovat část ZŘ - pravděpodobně v režimu Jednacího řízení s uveřejněním</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ORP Varnsdorf</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CZ.1.06/2.1.00/22.09575</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Varnsdorf</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2 452 458,00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rsidP="000C23EC">
            <w:pPr>
              <w:rPr>
                <w:rFonts w:ascii="Calibri" w:hAnsi="Calibri"/>
                <w:color w:val="000000"/>
                <w:sz w:val="18"/>
                <w:szCs w:val="18"/>
              </w:rPr>
            </w:pPr>
            <w:r>
              <w:rPr>
                <w:rFonts w:ascii="Calibri" w:hAnsi="Calibri"/>
                <w:color w:val="000000"/>
                <w:sz w:val="18"/>
                <w:szCs w:val="18"/>
              </w:rPr>
              <w:t>nedokončeno opakované podlimitní ZŘ na konsolidaci IT - předpokl. datum ukončení VŘ 31. 7. 2015 nebude dodrženo, ZD vrácena k dopracování</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single" w:sz="4" w:space="0" w:color="auto"/>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a nové služby TC Zlín</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CZ.1.06/2.1.00/22.09589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Statutární město Zlín</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5 100 000,00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nadlimitní ZŘ na konsolidaci IT - nutnost opakovat část A (předpokl. datum ukončení VŘ 24. 10. 2015!)</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7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infrastruktury a nové služby TC ORP Prachatice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CZ.1.06/2.1.00/22.09599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Prachatice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4 179 960,00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nadlim ZŘ na dodávku HW a SW - ZŘ zahájeno 7.5.2015, předpoklad ukončení 09/2015</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F644A3">
              <w:rPr>
                <w:rFonts w:ascii="Calibri" w:hAnsi="Calibri"/>
                <w:color w:val="000000"/>
                <w:sz w:val="18"/>
                <w:szCs w:val="18"/>
              </w:rPr>
              <w:t>3</w:t>
            </w:r>
            <w:r w:rsidR="00067B0A">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infrastruktury a rozvoj služeb města Slavičín</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CZ.1.06/2.1.00/22.09613</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Slavičín</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1 500 932,00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není vyhlášeno VŘ na generálního dodavatele, probíhá kontrola ZD - již velmi dlouho konzultována ZD, obtížná komunikace s příjemcem</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Konsolidace IT Město Polná</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CZ.1.06/2.1.00/22.09619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Polná</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2 141 558,00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nedokončeno podlim ZŘ na konsolidaci IT, nedodržen harmonogram - předpokl. vyhlášení 1. 6. </w:t>
            </w:r>
            <w:r>
              <w:rPr>
                <w:rFonts w:ascii="Calibri" w:hAnsi="Calibri"/>
                <w:color w:val="000000"/>
                <w:sz w:val="18"/>
                <w:szCs w:val="18"/>
              </w:rPr>
              <w:lastRenderedPageBreak/>
              <w:t>2015, dosud nepředložena ZD</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lastRenderedPageBreak/>
              <w:t>Nově zařazen</w:t>
            </w:r>
          </w:p>
        </w:tc>
        <w:tc>
          <w:tcPr>
            <w:tcW w:w="1072" w:type="dxa"/>
            <w:tcBorders>
              <w:top w:val="nil"/>
              <w:left w:val="nil"/>
              <w:bottom w:val="single" w:sz="4" w:space="0" w:color="auto"/>
              <w:right w:val="single" w:sz="4" w:space="0" w:color="auto"/>
            </w:tcBorders>
            <w:vAlign w:val="center"/>
          </w:tcPr>
          <w:p w:rsidR="00F644A3" w:rsidRDefault="008868F6"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0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Konsolidace IT, zvýšení bezpečnosti TC ORP a elektronizace procesů města Přeštice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CZ.1.06/2.1.00/22.09559</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Přeštice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3 724 628,00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nezahájeno podlimitní ZŘ na dodavatele SW a HW, předložená ZD vrácena 2. 6. 2015 příjemci s připomínkami, dosud bez reakce</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174CAD" w:rsidP="005E1956">
            <w:pPr>
              <w:jc w:val="center"/>
              <w:rPr>
                <w:rFonts w:ascii="Calibri" w:hAnsi="Calibri"/>
                <w:color w:val="000000"/>
                <w:sz w:val="18"/>
                <w:szCs w:val="18"/>
              </w:rPr>
            </w:pPr>
            <w:r>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96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Krajské služby eGovernmentu Středočeského kraje</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CZ.1.06/2.1.00/19.09274</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Středočeský kraj</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29 856 207,00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stěžejní VŘ na dodávku IS (nadlim ZŘ) dosud neukončeno, dokumentace vrácena 1. 7. 2015 s připomínkami před podpisem SoD </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601D25"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2,3</w:t>
            </w:r>
            <w:r w:rsidR="00067B0A">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51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Krajské služby eGovernmentu v Jihomoravském kraji</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CZ.1.06/2.1.00/19.09277</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Jihomoravský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29.11.2015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13 396 000,00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F644A3">
              <w:rPr>
                <w:rFonts w:ascii="Calibri" w:hAnsi="Calibri"/>
                <w:color w:val="000000"/>
                <w:sz w:val="18"/>
                <w:szCs w:val="18"/>
              </w:rPr>
              <w:t>2</w:t>
            </w:r>
            <w:r w:rsidR="00067B0A">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2</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Krajský standardizovaný projekt Zdravotnické záchranné služby Libereckého kraje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CZ.1.06/3.4.00/11.07906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Liberecký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31 853 240,00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VŘ na dodávky technologie dosud neukončeno, riziko nedokončení projektu v termínu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7A5694" w:rsidP="005E1956">
            <w:pPr>
              <w:jc w:val="center"/>
              <w:rPr>
                <w:rFonts w:ascii="Calibri" w:hAnsi="Calibri"/>
                <w:color w:val="000000"/>
                <w:sz w:val="18"/>
                <w:szCs w:val="18"/>
              </w:rPr>
            </w:pPr>
            <w:r>
              <w:rPr>
                <w:rFonts w:ascii="Calibri" w:hAnsi="Calibri"/>
                <w:color w:val="000000"/>
                <w:sz w:val="18"/>
                <w:szCs w:val="18"/>
              </w:rPr>
              <w:t>2,</w:t>
            </w:r>
            <w:r w:rsidR="00601D25">
              <w:rPr>
                <w:rFonts w:ascii="Calibri" w:hAnsi="Calibri"/>
                <w:color w:val="000000"/>
                <w:sz w:val="18"/>
                <w:szCs w:val="18"/>
              </w:rPr>
              <w:t>6</w:t>
            </w:r>
            <w:r>
              <w:rPr>
                <w:rFonts w:ascii="Calibri" w:hAnsi="Calibri"/>
                <w:color w:val="000000"/>
                <w:sz w:val="18"/>
                <w:szCs w:val="18"/>
              </w:rPr>
              <w:t>,7</w:t>
            </w:r>
            <w:r w:rsidR="000525B1">
              <w:rPr>
                <w:rFonts w:ascii="Calibri" w:hAnsi="Calibri"/>
                <w:color w:val="000000"/>
                <w:sz w:val="18"/>
                <w:szCs w:val="18"/>
              </w:rPr>
              <w:t>/</w:t>
            </w:r>
            <w:r w:rsidR="00F644A3">
              <w:rPr>
                <w:rFonts w:ascii="Calibri" w:hAnsi="Calibri"/>
                <w:color w:val="000000"/>
                <w:sz w:val="18"/>
                <w:szCs w:val="18"/>
              </w:rPr>
              <w:t>2,</w:t>
            </w:r>
            <w:r w:rsidR="00067B0A">
              <w:rPr>
                <w:rFonts w:ascii="Calibri" w:hAnsi="Calibri"/>
                <w:color w:val="000000"/>
                <w:sz w:val="18"/>
                <w:szCs w:val="18"/>
              </w:rPr>
              <w:t>6,</w:t>
            </w:r>
            <w:r w:rsidR="00F644A3">
              <w:rPr>
                <w:rFonts w:ascii="Calibri" w:hAnsi="Calibri"/>
                <w:color w:val="000000"/>
                <w:sz w:val="18"/>
                <w:szCs w:val="18"/>
              </w:rPr>
              <w:t>7,9</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Krajský standardizovaný projekt zdravotnické záchranné služby Moravskoslezského kraje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CZ.1.06/3.4.00/11.07845</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Moravskoslezský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22 486 920,00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VŘ na dodávky technologie dosud neukončeno, riziko nedokončení projektu v termínu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7A5694" w:rsidP="005E1956">
            <w:pPr>
              <w:jc w:val="center"/>
              <w:rPr>
                <w:rFonts w:ascii="Calibri" w:hAnsi="Calibri"/>
                <w:color w:val="000000"/>
                <w:sz w:val="18"/>
                <w:szCs w:val="18"/>
              </w:rPr>
            </w:pPr>
            <w:r>
              <w:rPr>
                <w:rFonts w:ascii="Calibri" w:hAnsi="Calibri"/>
                <w:color w:val="000000"/>
                <w:sz w:val="18"/>
                <w:szCs w:val="18"/>
              </w:rPr>
              <w:t>2,</w:t>
            </w:r>
            <w:r w:rsidR="00ED2C90">
              <w:rPr>
                <w:rFonts w:ascii="Calibri" w:hAnsi="Calibri"/>
                <w:color w:val="000000"/>
                <w:sz w:val="18"/>
                <w:szCs w:val="18"/>
              </w:rPr>
              <w:t>6</w:t>
            </w:r>
            <w:r>
              <w:rPr>
                <w:rFonts w:ascii="Calibri" w:hAnsi="Calibri"/>
                <w:color w:val="000000"/>
                <w:sz w:val="18"/>
                <w:szCs w:val="18"/>
              </w:rPr>
              <w:t>,7</w:t>
            </w:r>
            <w:r w:rsidR="000525B1">
              <w:rPr>
                <w:rFonts w:ascii="Calibri" w:hAnsi="Calibri"/>
                <w:color w:val="000000"/>
                <w:sz w:val="18"/>
                <w:szCs w:val="18"/>
              </w:rPr>
              <w:t>/</w:t>
            </w:r>
            <w:r w:rsidR="00F644A3">
              <w:rPr>
                <w:rFonts w:ascii="Calibri" w:hAnsi="Calibri"/>
                <w:color w:val="000000"/>
                <w:sz w:val="18"/>
                <w:szCs w:val="18"/>
              </w:rPr>
              <w:t>2,</w:t>
            </w:r>
            <w:r w:rsidR="00067B0A">
              <w:rPr>
                <w:rFonts w:ascii="Calibri" w:hAnsi="Calibri"/>
                <w:color w:val="000000"/>
                <w:sz w:val="18"/>
                <w:szCs w:val="18"/>
              </w:rPr>
              <w:t>6,</w:t>
            </w:r>
            <w:r w:rsidR="00F644A3">
              <w:rPr>
                <w:rFonts w:ascii="Calibri" w:hAnsi="Calibri"/>
                <w:color w:val="000000"/>
                <w:sz w:val="18"/>
                <w:szCs w:val="18"/>
              </w:rPr>
              <w:t>7</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7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Krajský standardizovaný projekt ZZS Olomouckého kraje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CZ.1.06/3.4.00/11.07851</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Olomoucký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26 504 700,00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VŘ na dodávky technologie dosud neukončeno, riziko nedokončení projektu v termínu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6</w:t>
            </w:r>
            <w:r w:rsidR="007A5694">
              <w:rPr>
                <w:rFonts w:ascii="Calibri" w:hAnsi="Calibri"/>
                <w:color w:val="000000"/>
                <w:sz w:val="18"/>
                <w:szCs w:val="18"/>
              </w:rPr>
              <w:t>,7</w:t>
            </w:r>
            <w:r w:rsidR="000525B1">
              <w:rPr>
                <w:rFonts w:ascii="Calibri" w:hAnsi="Calibri"/>
                <w:color w:val="000000"/>
                <w:sz w:val="18"/>
                <w:szCs w:val="18"/>
              </w:rPr>
              <w:t>/</w:t>
            </w:r>
            <w:r w:rsidR="00F644A3">
              <w:rPr>
                <w:rFonts w:ascii="Calibri" w:hAnsi="Calibri"/>
                <w:color w:val="000000"/>
                <w:sz w:val="18"/>
                <w:szCs w:val="18"/>
              </w:rPr>
              <w:t>2,</w:t>
            </w:r>
            <w:r w:rsidR="00067B0A">
              <w:rPr>
                <w:rFonts w:ascii="Calibri" w:hAnsi="Calibri"/>
                <w:color w:val="000000"/>
                <w:sz w:val="18"/>
                <w:szCs w:val="18"/>
              </w:rPr>
              <w:t>6,</w:t>
            </w:r>
            <w:r w:rsidR="00F644A3">
              <w:rPr>
                <w:rFonts w:ascii="Calibri" w:hAnsi="Calibri"/>
                <w:color w:val="000000"/>
                <w:sz w:val="18"/>
                <w:szCs w:val="18"/>
              </w:rPr>
              <w:t>7</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63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Letecká technika pro záchranné práce v IZS</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CZ.1.06/3.4.00/27.09721</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463 616 000,00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w:t>
            </w:r>
            <w:r w:rsidR="00174CAD">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2</w:t>
            </w:r>
          </w:p>
        </w:tc>
      </w:tr>
      <w:tr w:rsidR="00F644A3" w:rsidTr="000C2885">
        <w:trPr>
          <w:trHeight w:val="96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Moderní Kladno v mobilu</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CZ.1.06/2.1.00/22.09358</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Statutární město Kladno</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5 086 439,00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na základě rozhodnutí ÚOHS bylo zrušeno VŘ 003 - Rozvoj eHealth; příjemce připravuje OoZ s vyjmutím plánovaných aktivit projektu</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single" w:sz="4" w:space="0" w:color="auto"/>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w:t>
            </w:r>
            <w:r w:rsidR="00D40952">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647AF2"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27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Modernizace a standardizace vybavení Zdravotnické záchranné služby Středočeského kraje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CZ.1.06/3.4.00/23.09632</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Zdravotnická záchranná služba Středočeského kraje, příspěvková organizace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64 479 045,00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3</w:t>
            </w:r>
            <w:r w:rsidR="00067B0A">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144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Modernizace komunikační infrastruktury (MKI) - Krajské ředitelství policie Plzeňského kraje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CZ.1.06/1.1.00/17.09387</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Krajské ředitelství policie Plzeňského kraje</w:t>
            </w:r>
          </w:p>
        </w:tc>
        <w:tc>
          <w:tcPr>
            <w:tcW w:w="9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133 000 000,00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*Klíčové VŘ 01-Modernizace komunikační infrastruktury Krajského ředitelství policie Plzeňského kraje muselo být znovu vyhlášeno, neboť příjemce neodeslal oznámení o zakázce do Evropského věstníku.</w:t>
            </w:r>
          </w:p>
        </w:tc>
        <w:tc>
          <w:tcPr>
            <w:tcW w:w="1394" w:type="dxa"/>
            <w:tcBorders>
              <w:top w:val="single" w:sz="4" w:space="0" w:color="auto"/>
              <w:left w:val="nil"/>
              <w:bottom w:val="single" w:sz="4" w:space="0" w:color="auto"/>
              <w:right w:val="single" w:sz="4" w:space="0" w:color="auto"/>
            </w:tcBorders>
            <w:vAlign w:val="center"/>
          </w:tcPr>
          <w:p w:rsidR="00F644A3" w:rsidRPr="00721031" w:rsidRDefault="00F644A3" w:rsidP="009917EF">
            <w:pPr>
              <w:jc w:val="center"/>
              <w:rPr>
                <w:rFonts w:ascii="Calibri" w:hAnsi="Calibri"/>
                <w:sz w:val="48"/>
                <w:szCs w:val="48"/>
              </w:rPr>
            </w:pPr>
            <w:r w:rsidRPr="00721031">
              <w:rPr>
                <w:rFonts w:ascii="Calibri" w:hAnsi="Calibri"/>
                <w:sz w:val="48"/>
                <w:szCs w:val="48"/>
              </w:rPr>
              <w:t>=</w:t>
            </w:r>
          </w:p>
        </w:tc>
        <w:tc>
          <w:tcPr>
            <w:tcW w:w="1072" w:type="dxa"/>
            <w:tcBorders>
              <w:top w:val="single" w:sz="4" w:space="0" w:color="auto"/>
              <w:left w:val="nil"/>
              <w:bottom w:val="single" w:sz="4" w:space="0" w:color="auto"/>
              <w:right w:val="single" w:sz="4" w:space="0" w:color="auto"/>
            </w:tcBorders>
            <w:vAlign w:val="center"/>
          </w:tcPr>
          <w:p w:rsidR="00F644A3" w:rsidRDefault="00ED2C90" w:rsidP="005E1956">
            <w:pPr>
              <w:jc w:val="center"/>
              <w:rPr>
                <w:rFonts w:ascii="Calibri" w:hAnsi="Calibri"/>
                <w:sz w:val="18"/>
                <w:szCs w:val="18"/>
              </w:rPr>
            </w:pPr>
            <w:r>
              <w:rPr>
                <w:rFonts w:ascii="Calibri" w:hAnsi="Calibri"/>
                <w:sz w:val="18"/>
                <w:szCs w:val="18"/>
              </w:rPr>
              <w:t>6</w:t>
            </w:r>
            <w:r w:rsidR="00D40952">
              <w:rPr>
                <w:rFonts w:ascii="Calibri" w:hAnsi="Calibri"/>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3</w:t>
            </w:r>
          </w:p>
        </w:tc>
      </w:tr>
      <w:tr w:rsidR="00F644A3" w:rsidTr="005D13D5">
        <w:trPr>
          <w:trHeight w:val="10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rsidP="00721031">
            <w:pPr>
              <w:rPr>
                <w:rFonts w:ascii="Calibri" w:hAnsi="Calibri"/>
                <w:color w:val="000000"/>
              </w:rPr>
            </w:pPr>
            <w:r>
              <w:rPr>
                <w:rFonts w:ascii="Calibri" w:hAnsi="Calibri"/>
                <w:color w:val="000000"/>
              </w:rPr>
              <w:t>Modernizace komunikační infrastruktury- Krajské ředitelství policie Ústeckého kraje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CZ.1.06/1.1.00/17.09373</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Krajské ředitelství policie Ústeckého kraje</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155 000 000,00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*Klíčové VŘ 01-Modernizace komunikační infrastruktury KŘP Ústeckého kraje posuzoval ÚOHS, zda  VŘ 01 proběhlo v souladu s příslušnými ustanoveními ZVZ.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721031">
              <w:rPr>
                <w:rFonts w:ascii="Calibri" w:hAnsi="Calibri"/>
                <w:sz w:val="48"/>
                <w:szCs w:val="48"/>
              </w:rPr>
              <w:t>=</w:t>
            </w:r>
          </w:p>
        </w:tc>
        <w:tc>
          <w:tcPr>
            <w:tcW w:w="1072" w:type="dxa"/>
            <w:tcBorders>
              <w:top w:val="nil"/>
              <w:left w:val="nil"/>
              <w:bottom w:val="single" w:sz="4" w:space="0" w:color="auto"/>
              <w:right w:val="single" w:sz="4" w:space="0" w:color="auto"/>
            </w:tcBorders>
            <w:vAlign w:val="center"/>
          </w:tcPr>
          <w:p w:rsidR="00F644A3" w:rsidRDefault="00ED2C90" w:rsidP="005E1956">
            <w:pPr>
              <w:jc w:val="center"/>
              <w:rPr>
                <w:rFonts w:ascii="Calibri" w:hAnsi="Calibri"/>
                <w:sz w:val="18"/>
                <w:szCs w:val="18"/>
              </w:rPr>
            </w:pPr>
            <w:r>
              <w:rPr>
                <w:rFonts w:ascii="Calibri" w:hAnsi="Calibri"/>
                <w:sz w:val="18"/>
                <w:szCs w:val="18"/>
              </w:rPr>
              <w:t>6</w:t>
            </w:r>
            <w:r w:rsidR="00D40952">
              <w:rPr>
                <w:rFonts w:ascii="Calibri" w:hAnsi="Calibri"/>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3</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Národní informační systém integrovaného záchranného systému</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CZ.1.06/3.4.00/11.07071</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456 738 458,00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opakované zpožďování a slučování dodávek dílčích plnění gen. dodavatele; zpoždění ve fakturaci; velké riziko, že dodávky nebudou dodány v termínu.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721031">
              <w:rPr>
                <w:rFonts w:ascii="Calibri" w:hAnsi="Calibri"/>
                <w:sz w:val="48"/>
                <w:szCs w:val="48"/>
              </w:rPr>
              <w:t>=</w:t>
            </w:r>
          </w:p>
        </w:tc>
        <w:tc>
          <w:tcPr>
            <w:tcW w:w="1072" w:type="dxa"/>
            <w:tcBorders>
              <w:top w:val="nil"/>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6</w:t>
            </w:r>
            <w:r w:rsidR="005E47DB">
              <w:rPr>
                <w:rFonts w:ascii="Calibri" w:hAnsi="Calibri"/>
                <w:color w:val="000000"/>
                <w:sz w:val="18"/>
                <w:szCs w:val="18"/>
              </w:rPr>
              <w:t>,7</w:t>
            </w:r>
            <w:r w:rsidR="000525B1">
              <w:rPr>
                <w:rFonts w:ascii="Calibri" w:hAnsi="Calibri"/>
                <w:color w:val="000000"/>
                <w:sz w:val="18"/>
                <w:szCs w:val="18"/>
              </w:rPr>
              <w:t>/</w:t>
            </w:r>
            <w:r w:rsidR="00F644A3">
              <w:rPr>
                <w:rFonts w:ascii="Calibri" w:hAnsi="Calibri"/>
                <w:color w:val="000000"/>
                <w:sz w:val="18"/>
                <w:szCs w:val="18"/>
              </w:rPr>
              <w:t>3</w:t>
            </w:r>
            <w:r w:rsidR="00067B0A">
              <w:rPr>
                <w:rFonts w:ascii="Calibri" w:hAnsi="Calibri"/>
                <w:color w:val="000000"/>
                <w:sz w:val="18"/>
                <w:szCs w:val="18"/>
              </w:rPr>
              <w:t>,6</w:t>
            </w:r>
            <w:r w:rsidR="00F63062">
              <w:rPr>
                <w:rFonts w:ascii="Calibri" w:hAnsi="Calibri"/>
                <w:color w:val="000000"/>
                <w:sz w:val="18"/>
                <w:szCs w:val="18"/>
              </w:rPr>
              <w:t>,7</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5</w:t>
            </w:r>
          </w:p>
        </w:tc>
      </w:tr>
      <w:tr w:rsidR="00F644A3" w:rsidTr="000C2885">
        <w:trPr>
          <w:trHeight w:val="264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Národní systém kvality služeb cestovního ruchu v České republice</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CZ.1.06/4.1.00/13.08126</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PRO MÍSTNÍ ROZVOJ</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6.4.1</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73 332 369,00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rsidP="00753759">
            <w:pPr>
              <w:rPr>
                <w:rFonts w:ascii="Calibri" w:hAnsi="Calibri"/>
                <w:color w:val="000000"/>
                <w:sz w:val="18"/>
                <w:szCs w:val="18"/>
              </w:rPr>
            </w:pPr>
            <w:r>
              <w:rPr>
                <w:rFonts w:ascii="Calibri" w:hAnsi="Calibri"/>
                <w:color w:val="000000"/>
                <w:sz w:val="18"/>
                <w:szCs w:val="18"/>
              </w:rPr>
              <w:t>Projekt se dlouhodobě vyznačoval komplikovanými smluvními vztahy s hlavním dodavatelem, které neúměrně zakládaly problémy v projektu a byly jednou z hlavních příčin nedodržování harmonogramu plnění.  Projekt je vysoce rizikový ve vztahu k naplňování jednoho z MI (nebude naplněn). Příjemce připravuje žádost o snížení  hodnoty MI (vazba na rozpočet projektu) na základě reálného odhadu.</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721031">
              <w:rPr>
                <w:rFonts w:ascii="Calibri" w:hAnsi="Calibri"/>
                <w:sz w:val="48"/>
                <w:szCs w:val="48"/>
              </w:rPr>
              <w:t>=</w:t>
            </w:r>
          </w:p>
        </w:tc>
        <w:tc>
          <w:tcPr>
            <w:tcW w:w="1072" w:type="dxa"/>
            <w:tcBorders>
              <w:top w:val="single" w:sz="4" w:space="0" w:color="auto"/>
              <w:left w:val="nil"/>
              <w:bottom w:val="single" w:sz="4" w:space="0" w:color="auto"/>
              <w:right w:val="single" w:sz="4" w:space="0" w:color="auto"/>
            </w:tcBorders>
            <w:vAlign w:val="center"/>
          </w:tcPr>
          <w:p w:rsidR="00F644A3" w:rsidRDefault="00ED2C90"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264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Národní systém kvality služeb cestovního ruchu v České republice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CZ.1.06/4.1.00/13.08127</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PRO MÍSTNÍ ROZVOJ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6.4.1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31.12.2015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5 640 963,00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 xml:space="preserve">Projekt se dlouhodobě vyznačoval komplikovanými smluvními vztahy s hlavním dodavatelem, které neúměrně zakládaly problémy v projektu a byly jednou z hlavních příčin nedodržování harmonogramu plnění.  Projekt je vysoce rizikový ve vztahu k naplňování jednoho z MI (nebude naplněn). Příjemce připravuje žádost o snížení  hodnoty MI (vazba na rozpočet projektu) na základě reálného odhadu.    </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721031">
              <w:rPr>
                <w:rFonts w:ascii="Calibri" w:hAnsi="Calibri"/>
                <w:sz w:val="48"/>
                <w:szCs w:val="48"/>
              </w:rPr>
              <w:t>=</w:t>
            </w:r>
          </w:p>
        </w:tc>
        <w:tc>
          <w:tcPr>
            <w:tcW w:w="1072" w:type="dxa"/>
            <w:tcBorders>
              <w:top w:val="nil"/>
              <w:left w:val="nil"/>
              <w:bottom w:val="single" w:sz="4" w:space="0" w:color="auto"/>
              <w:right w:val="single" w:sz="4" w:space="0" w:color="auto"/>
            </w:tcBorders>
            <w:vAlign w:val="center"/>
          </w:tcPr>
          <w:p w:rsidR="00F644A3" w:rsidRDefault="00494EC5"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0C2885">
        <w:trPr>
          <w:trHeight w:val="168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Navazující agendové registry Ministerstva zdravotnictví</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CZ.1.06/1.1.00/17.09399</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Koordinační středisko pro resortní zdravotnické informační systémy</w:t>
            </w:r>
          </w:p>
        </w:tc>
        <w:tc>
          <w:tcPr>
            <w:tcW w:w="9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30.9.2015</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64 444 600,00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projekt k 14. 4. 2015 schválen, dosud nevydána Registrace akce a Stanovení výdajů na financování akce OSS, jelikož zde vznikla potřeba navýšit alokaci programu MZ ČR</w:t>
            </w:r>
            <w:r>
              <w:rPr>
                <w:rFonts w:ascii="Calibri" w:hAnsi="Calibri"/>
                <w:sz w:val="18"/>
                <w:szCs w:val="18"/>
              </w:rPr>
              <w:br/>
              <w:t>• VZ 001, 002, 006 zahájena, VZ 003 a 005 již ukončeno</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721031">
              <w:rPr>
                <w:rFonts w:ascii="Calibri" w:hAnsi="Calibri"/>
                <w:sz w:val="48"/>
                <w:szCs w:val="48"/>
              </w:rPr>
              <w:t>=</w:t>
            </w:r>
          </w:p>
        </w:tc>
        <w:tc>
          <w:tcPr>
            <w:tcW w:w="1072" w:type="dxa"/>
            <w:tcBorders>
              <w:top w:val="single" w:sz="4" w:space="0" w:color="auto"/>
              <w:left w:val="nil"/>
              <w:bottom w:val="single" w:sz="4" w:space="0" w:color="auto"/>
              <w:right w:val="single" w:sz="4" w:space="0" w:color="auto"/>
            </w:tcBorders>
            <w:vAlign w:val="center"/>
          </w:tcPr>
          <w:p w:rsidR="00F644A3" w:rsidRDefault="00F63062" w:rsidP="005E1956">
            <w:pPr>
              <w:jc w:val="center"/>
              <w:rPr>
                <w:rFonts w:ascii="Calibri" w:hAnsi="Calibri"/>
                <w:sz w:val="18"/>
                <w:szCs w:val="18"/>
              </w:rPr>
            </w:pPr>
            <w:r>
              <w:rPr>
                <w:rFonts w:ascii="Calibri" w:hAnsi="Calibri"/>
                <w:sz w:val="18"/>
                <w:szCs w:val="18"/>
              </w:rPr>
              <w:t>-</w:t>
            </w:r>
            <w:r w:rsidR="00D40952">
              <w:rPr>
                <w:rFonts w:ascii="Calibri" w:hAnsi="Calibri"/>
                <w:sz w:val="1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3</w:t>
            </w:r>
          </w:p>
        </w:tc>
      </w:tr>
      <w:tr w:rsidR="00F644A3" w:rsidTr="005D13D5">
        <w:trPr>
          <w:trHeight w:val="31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Obnova součástí NKP Hřebčín v Kladrubech nad Labem</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CZ.1.06/5.1.00/03.08090</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Národní hřebčín Kladruby nad Labem, státní příspěvková organizace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6.5.1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30.9.2015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299 491 700,00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Pr="000C23EC" w:rsidRDefault="00F644A3" w:rsidP="000C23EC">
            <w:pPr>
              <w:rPr>
                <w:rFonts w:ascii="Calibri" w:hAnsi="Calibri"/>
                <w:color w:val="000000"/>
                <w:sz w:val="18"/>
                <w:szCs w:val="18"/>
              </w:rPr>
            </w:pPr>
            <w:r>
              <w:rPr>
                <w:rFonts w:ascii="Calibri" w:hAnsi="Calibri"/>
                <w:color w:val="000000"/>
                <w:sz w:val="18"/>
                <w:szCs w:val="18"/>
              </w:rPr>
              <w:t>Termín ukončení realizace projektu byl na žádost příjemce posunut o 9 měsíců, tj. na 30. 9. 2015. Projekt dlouhodobě vykazuje nízké čerpání, cca 40 % prostředků zbývá vyčerpat v rámci poslední etapy. Projekt byl zařazen mezi vysoce rizikové z důvodu závažných problémů v administraci projektu (dokládání dokumentace k výběrovým řízením a faktur, velké množství změnových listů a oznámení o změnách), které nyní představují zásadní riziko ve vztahu k dokončení realizace projektu v termínu.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 (k 1.4.2015 byl spící)</w:t>
            </w:r>
          </w:p>
        </w:tc>
        <w:tc>
          <w:tcPr>
            <w:tcW w:w="1072" w:type="dxa"/>
            <w:tcBorders>
              <w:top w:val="nil"/>
              <w:left w:val="nil"/>
              <w:bottom w:val="single" w:sz="4" w:space="0" w:color="auto"/>
              <w:right w:val="single" w:sz="4" w:space="0" w:color="auto"/>
            </w:tcBorders>
            <w:vAlign w:val="center"/>
          </w:tcPr>
          <w:p w:rsidR="00F644A3" w:rsidRDefault="005E47DB" w:rsidP="005E1956">
            <w:pPr>
              <w:jc w:val="center"/>
              <w:rPr>
                <w:rFonts w:ascii="Calibri" w:hAnsi="Calibri"/>
                <w:color w:val="000000"/>
                <w:sz w:val="18"/>
                <w:szCs w:val="18"/>
              </w:rPr>
            </w:pPr>
            <w:r>
              <w:rPr>
                <w:rFonts w:ascii="Calibri" w:hAnsi="Calibri"/>
                <w:color w:val="000000"/>
                <w:sz w:val="18"/>
                <w:szCs w:val="18"/>
              </w:rPr>
              <w:t>3,</w:t>
            </w:r>
            <w:r w:rsidR="00494EC5">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11</w:t>
            </w:r>
          </w:p>
        </w:tc>
      </w:tr>
      <w:tr w:rsidR="00F644A3" w:rsidTr="005D13D5">
        <w:trPr>
          <w:trHeight w:val="96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Operační řízení útvarů Policie ČR s celostátní působností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CZ.1.06/1.1.00/17.09394</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47 403 900,00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 jednoetapový projekt </w:t>
            </w:r>
            <w:r>
              <w:rPr>
                <w:rFonts w:ascii="Calibri" w:hAnsi="Calibri"/>
                <w:sz w:val="18"/>
                <w:szCs w:val="18"/>
              </w:rPr>
              <w:br/>
              <w:t xml:space="preserve">* přepracování ZD a změna formy zadání VZ </w:t>
            </w:r>
            <w:r>
              <w:rPr>
                <w:rFonts w:ascii="Calibri" w:hAnsi="Calibri"/>
                <w:sz w:val="18"/>
                <w:szCs w:val="18"/>
              </w:rPr>
              <w:br/>
              <w:t>* výrazné riziko nedodržení časového harmonogramu projektu</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721031">
              <w:rPr>
                <w:rFonts w:ascii="Calibri" w:hAnsi="Calibri"/>
                <w:sz w:val="48"/>
                <w:szCs w:val="48"/>
              </w:rPr>
              <w:t>=</w:t>
            </w:r>
          </w:p>
        </w:tc>
        <w:tc>
          <w:tcPr>
            <w:tcW w:w="1072" w:type="dxa"/>
            <w:tcBorders>
              <w:top w:val="nil"/>
              <w:left w:val="nil"/>
              <w:bottom w:val="single" w:sz="4" w:space="0" w:color="auto"/>
              <w:right w:val="single" w:sz="4" w:space="0" w:color="auto"/>
            </w:tcBorders>
            <w:vAlign w:val="center"/>
          </w:tcPr>
          <w:p w:rsidR="00F644A3" w:rsidRDefault="00120FB9" w:rsidP="005E1956">
            <w:pPr>
              <w:jc w:val="center"/>
              <w:rPr>
                <w:rFonts w:ascii="Calibri" w:hAnsi="Calibri"/>
                <w:sz w:val="18"/>
                <w:szCs w:val="18"/>
              </w:rPr>
            </w:pPr>
            <w:r>
              <w:rPr>
                <w:rFonts w:ascii="Calibri" w:hAnsi="Calibri"/>
                <w:sz w:val="18"/>
                <w:szCs w:val="18"/>
              </w:rPr>
              <w:t>6</w:t>
            </w:r>
            <w:r w:rsidR="000525B1">
              <w:rPr>
                <w:rFonts w:ascii="Calibri" w:hAnsi="Calibri"/>
                <w:sz w:val="18"/>
                <w:szCs w:val="18"/>
              </w:rPr>
              <w:t>/</w:t>
            </w:r>
            <w:r w:rsidR="00F644A3">
              <w:rPr>
                <w:rFonts w:ascii="Calibri" w:hAnsi="Calibri"/>
                <w:sz w:val="18"/>
                <w:szCs w:val="18"/>
              </w:rPr>
              <w:t>3,</w:t>
            </w:r>
            <w:r w:rsidR="00067B0A">
              <w:rPr>
                <w:rFonts w:ascii="Calibri" w:hAnsi="Calibri"/>
                <w:sz w:val="18"/>
                <w:szCs w:val="18"/>
              </w:rPr>
              <w:t>6,</w:t>
            </w:r>
            <w:r w:rsidR="00F644A3">
              <w:rPr>
                <w:rFonts w:ascii="Calibri" w:hAnsi="Calibri"/>
                <w:sz w:val="18"/>
                <w:szCs w:val="18"/>
              </w:rPr>
              <w:t>8</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3</w:t>
            </w:r>
          </w:p>
        </w:tc>
      </w:tr>
      <w:tr w:rsidR="00F644A3" w:rsidTr="000C2885">
        <w:trPr>
          <w:trHeight w:val="1275"/>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Pořízení moderních vozidel a technologií k efektivní akceschopnosti ZZSPK</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CZ.1.06/3.4.00/23.09556</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Zdravotnická záchranná služba Plzeňského kraje, příspěvková organizace</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67 293 837,00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120FB9"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3</w:t>
            </w:r>
            <w:r w:rsidR="00067B0A">
              <w:rPr>
                <w:rFonts w:ascii="Calibri" w:hAnsi="Calibri"/>
                <w:color w:val="000000"/>
                <w:sz w:val="18"/>
                <w:szCs w:val="18"/>
              </w:rPr>
              <w:t>,6</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51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Pořízení technologického vybavení a vozidel pro ZZS OK</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CZ.1.06/3.4.00/23.09622</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Olomoucký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30.9.2015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67 975 010,00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0F0DFC" w:rsidP="005E1956">
            <w:pPr>
              <w:jc w:val="center"/>
              <w:rPr>
                <w:rFonts w:ascii="Calibri" w:hAnsi="Calibri"/>
                <w:color w:val="000000"/>
                <w:sz w:val="18"/>
                <w:szCs w:val="18"/>
              </w:rPr>
            </w:pPr>
            <w:r>
              <w:rPr>
                <w:rFonts w:ascii="Calibri" w:hAnsi="Calibri"/>
                <w:color w:val="000000"/>
                <w:sz w:val="18"/>
                <w:szCs w:val="18"/>
              </w:rPr>
              <w:t>-/-</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288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Projekt Centrální místo Služeb - Komunikační infrastruktura Informačních systémů veřejné správy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CZ.1.06/1.1.00/03.05995</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562 634 144,74</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 Realizovány dodávky rozšiřujícího hardware, probíhají implementační práce </w:t>
            </w:r>
            <w:r>
              <w:rPr>
                <w:rFonts w:ascii="Calibri" w:hAnsi="Calibri"/>
                <w:sz w:val="18"/>
                <w:szCs w:val="18"/>
              </w:rPr>
              <w:br/>
              <w:t>* jako náhradní řešení pro nákup MPLS technologie bude použita jiná již uzavřená dílčí smlouva ČP OZ</w:t>
            </w:r>
            <w:r>
              <w:rPr>
                <w:rFonts w:ascii="Calibri" w:hAnsi="Calibri"/>
                <w:sz w:val="18"/>
                <w:szCs w:val="18"/>
              </w:rPr>
              <w:br/>
              <w:t xml:space="preserve">* V projektu probíhá kontrola NKÚ (IT a zakázky ČP OZ). </w:t>
            </w:r>
            <w:r>
              <w:rPr>
                <w:rFonts w:ascii="Calibri" w:hAnsi="Calibri"/>
                <w:sz w:val="18"/>
                <w:szCs w:val="18"/>
              </w:rPr>
              <w:br/>
              <w:t>* Řešeno dokončení interim fyzické kontroly na místě OSF - inventarizace majetku</w:t>
            </w:r>
            <w:r>
              <w:rPr>
                <w:rFonts w:ascii="Calibri" w:hAnsi="Calibri"/>
                <w:sz w:val="18"/>
                <w:szCs w:val="18"/>
              </w:rPr>
              <w:br/>
              <w:t>* dne 26.6.2015 předložena MZ se ŽoP za Investiční etapu č. 5</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721031">
              <w:rPr>
                <w:rFonts w:ascii="Calibri" w:hAnsi="Calibri"/>
                <w:sz w:val="48"/>
                <w:szCs w:val="48"/>
              </w:rPr>
              <w:t>=</w:t>
            </w:r>
          </w:p>
        </w:tc>
        <w:tc>
          <w:tcPr>
            <w:tcW w:w="1072" w:type="dxa"/>
            <w:tcBorders>
              <w:top w:val="nil"/>
              <w:left w:val="nil"/>
              <w:bottom w:val="single" w:sz="4" w:space="0" w:color="auto"/>
              <w:right w:val="single" w:sz="4" w:space="0" w:color="auto"/>
            </w:tcBorders>
            <w:vAlign w:val="center"/>
          </w:tcPr>
          <w:p w:rsidR="00F644A3" w:rsidRDefault="00120FB9" w:rsidP="005E1956">
            <w:pPr>
              <w:jc w:val="center"/>
              <w:rPr>
                <w:rFonts w:ascii="Calibri" w:hAnsi="Calibri"/>
                <w:sz w:val="18"/>
                <w:szCs w:val="18"/>
              </w:rPr>
            </w:pPr>
            <w:r>
              <w:rPr>
                <w:rFonts w:ascii="Calibri" w:hAnsi="Calibri"/>
                <w:sz w:val="18"/>
                <w:szCs w:val="18"/>
              </w:rPr>
              <w:t>6</w:t>
            </w:r>
            <w:r w:rsidR="005E47DB">
              <w:rPr>
                <w:rFonts w:ascii="Calibri" w:hAnsi="Calibri"/>
                <w:sz w:val="18"/>
                <w:szCs w:val="18"/>
              </w:rPr>
              <w:t>,7</w:t>
            </w:r>
            <w:r w:rsidR="000525B1">
              <w:rPr>
                <w:rFonts w:ascii="Calibri" w:hAnsi="Calibri"/>
                <w:sz w:val="18"/>
                <w:szCs w:val="18"/>
              </w:rPr>
              <w:t>/</w:t>
            </w:r>
            <w:r w:rsidR="00067B0A">
              <w:rPr>
                <w:rFonts w:ascii="Calibri" w:hAnsi="Calibri"/>
                <w:sz w:val="18"/>
                <w:szCs w:val="18"/>
              </w:rPr>
              <w:t>6,</w:t>
            </w:r>
            <w:r w:rsidR="00F644A3">
              <w:rPr>
                <w:rFonts w:ascii="Calibri" w:hAnsi="Calibri"/>
                <w:sz w:val="18"/>
                <w:szCs w:val="18"/>
              </w:rPr>
              <w:t>7</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12</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Připravenost Hasičského záchranného sboru České republiky k řešení povodní</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CZ.1.06/3.4.00/20.09255</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1 425 000 000,00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 v celkovém objemu cca 160 mil. Kč.</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120FB9" w:rsidP="005E1956">
            <w:pPr>
              <w:jc w:val="center"/>
              <w:rPr>
                <w:rFonts w:ascii="Calibri" w:hAnsi="Calibri"/>
                <w:color w:val="000000"/>
                <w:sz w:val="18"/>
                <w:szCs w:val="18"/>
              </w:rPr>
            </w:pPr>
            <w:r>
              <w:rPr>
                <w:rFonts w:ascii="Calibri" w:hAnsi="Calibri"/>
                <w:color w:val="000000"/>
                <w:sz w:val="18"/>
                <w:szCs w:val="18"/>
              </w:rPr>
              <w:t>6</w:t>
            </w:r>
            <w:r w:rsidR="000F0DFC">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102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Technologické vybavení Zdravotnické záchranné služby Královéhradeckého kraje, p.o.</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CZ.1.06/3.4.00/23.09544</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Zdravotnická záchranná služba Královéhradeckého kraje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67 114 130,00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120FB9" w:rsidP="005E1956">
            <w:pPr>
              <w:jc w:val="center"/>
              <w:rPr>
                <w:rFonts w:ascii="Calibri" w:hAnsi="Calibri"/>
                <w:color w:val="000000"/>
                <w:sz w:val="18"/>
                <w:szCs w:val="18"/>
              </w:rPr>
            </w:pPr>
            <w:r>
              <w:rPr>
                <w:rFonts w:ascii="Calibri" w:hAnsi="Calibri"/>
                <w:color w:val="000000"/>
                <w:sz w:val="18"/>
                <w:szCs w:val="18"/>
              </w:rPr>
              <w:t>6</w:t>
            </w:r>
            <w:r w:rsidR="000F0DFC">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0C2885">
        <w:trPr>
          <w:trHeight w:val="120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bottom"/>
            <w:hideMark/>
          </w:tcPr>
          <w:p w:rsidR="00F644A3" w:rsidRDefault="00F644A3">
            <w:pPr>
              <w:rPr>
                <w:rFonts w:ascii="Calibri" w:hAnsi="Calibri"/>
                <w:color w:val="000000"/>
              </w:rPr>
            </w:pPr>
            <w:r>
              <w:rPr>
                <w:rFonts w:ascii="Calibri" w:hAnsi="Calibri"/>
                <w:color w:val="000000"/>
              </w:rPr>
              <w:lastRenderedPageBreak/>
              <w:t>ÚP ČR Praha - nákup administrativní budovy</w:t>
            </w:r>
          </w:p>
        </w:tc>
        <w:tc>
          <w:tcPr>
            <w:tcW w:w="21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CZ.1.06/3.3.00/04.09157</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Úřad práce České republiky</w:t>
            </w:r>
          </w:p>
        </w:tc>
        <w:tc>
          <w:tcPr>
            <w:tcW w:w="97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6.3.3</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240 148 780,00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Projekt je rizikový, hlavním rizikem je neproplacení části finančních prostředků, u nichž je ze strany EK zpochybněna uznatelnost. Termín ukončení realizace projektu je 30. 11. 2015.</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single" w:sz="4" w:space="0" w:color="auto"/>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067B0A">
              <w:rPr>
                <w:rFonts w:ascii="Calibri" w:hAnsi="Calibri"/>
                <w:color w:val="000000"/>
                <w:sz w:val="18"/>
                <w:szCs w:val="18"/>
              </w:rPr>
              <w:t>6,</w:t>
            </w:r>
            <w:r w:rsidR="00F644A3">
              <w:rPr>
                <w:rFonts w:ascii="Calibri" w:hAnsi="Calibri"/>
                <w:color w:val="000000"/>
                <w:sz w:val="18"/>
                <w:szCs w:val="18"/>
              </w:rPr>
              <w:t>7</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192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Úprava evidence obyvatel a vytvoření relevantního datového fondu pro ROB</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CZ.1.06/1.1.00/03.06325</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31.8.2015</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66 489 000,00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realizace projektu je zpožděna ze strany dodavatele AIS 3 firmy ICZ, která není schopna dodat dílo v požadované kvalitě. </w:t>
            </w:r>
            <w:r>
              <w:rPr>
                <w:rFonts w:ascii="Calibri" w:hAnsi="Calibri"/>
                <w:sz w:val="18"/>
                <w:szCs w:val="18"/>
              </w:rPr>
              <w:br/>
              <w:t xml:space="preserve">* ICZ odevzdala výstupy a dokumentaci k etapě 2. - nyní posuzováno příjemcem </w:t>
            </w:r>
            <w:r>
              <w:rPr>
                <w:rFonts w:ascii="Calibri" w:hAnsi="Calibri"/>
                <w:sz w:val="18"/>
                <w:szCs w:val="18"/>
              </w:rPr>
              <w:br/>
              <w:t>* osloven soudní znalec, aby vypracoval stanovisko ke stavu projektu a možnosti jeho úspěšného dokončení</w:t>
            </w:r>
          </w:p>
        </w:tc>
        <w:tc>
          <w:tcPr>
            <w:tcW w:w="1394" w:type="dxa"/>
            <w:tcBorders>
              <w:top w:val="single" w:sz="4" w:space="0" w:color="auto"/>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Pr>
                <w:rFonts w:ascii="Calibri" w:hAnsi="Calibri"/>
                <w:color w:val="000000"/>
                <w:sz w:val="18"/>
                <w:szCs w:val="18"/>
              </w:rPr>
              <w:t>Nově zařazen</w:t>
            </w:r>
          </w:p>
        </w:tc>
        <w:tc>
          <w:tcPr>
            <w:tcW w:w="1072" w:type="dxa"/>
            <w:tcBorders>
              <w:top w:val="single" w:sz="4" w:space="0" w:color="auto"/>
              <w:left w:val="nil"/>
              <w:bottom w:val="single" w:sz="4" w:space="0" w:color="auto"/>
              <w:right w:val="single" w:sz="4" w:space="0" w:color="auto"/>
            </w:tcBorders>
            <w:vAlign w:val="center"/>
          </w:tcPr>
          <w:p w:rsidR="00F644A3" w:rsidRDefault="000525B1" w:rsidP="005E1956">
            <w:pPr>
              <w:jc w:val="center"/>
              <w:rPr>
                <w:rFonts w:ascii="Calibri" w:hAnsi="Calibri"/>
                <w:sz w:val="18"/>
                <w:szCs w:val="18"/>
              </w:rPr>
            </w:pPr>
            <w:r>
              <w:rPr>
                <w:rFonts w:ascii="Calibri" w:hAnsi="Calibri"/>
                <w:sz w:val="18"/>
                <w:szCs w:val="18"/>
              </w:rPr>
              <w:t>-/</w:t>
            </w:r>
            <w:r w:rsidR="00067B0A">
              <w:rPr>
                <w:rFonts w:ascii="Calibri" w:hAnsi="Calibri"/>
                <w:sz w:val="18"/>
                <w:szCs w:val="18"/>
              </w:rPr>
              <w:t>6,</w:t>
            </w:r>
            <w:r w:rsidR="00F644A3">
              <w:rPr>
                <w:rFonts w:ascii="Calibri" w:hAnsi="Calibri"/>
                <w:sz w:val="18"/>
                <w:szCs w:val="18"/>
              </w:rPr>
              <w:t>7</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12</w:t>
            </w:r>
          </w:p>
        </w:tc>
      </w:tr>
      <w:tr w:rsidR="00F644A3" w:rsidTr="005D13D5">
        <w:trPr>
          <w:trHeight w:val="168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Vytvoření Portálu justice v návaznosti na Portál veřejné správy a agendové portály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CZ.1.06/1.1.00/16.09222</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spravedlnosti</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19 200 000,00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 již podepsána smlouva s vítězných uchazečem v klíčovém VŘ 001 </w:t>
            </w:r>
            <w:r>
              <w:rPr>
                <w:rFonts w:ascii="Calibri" w:hAnsi="Calibri"/>
                <w:i/>
                <w:iCs/>
                <w:sz w:val="18"/>
                <w:szCs w:val="18"/>
              </w:rPr>
              <w:t xml:space="preserve">Portál  </w:t>
            </w:r>
            <w:r>
              <w:rPr>
                <w:rFonts w:ascii="Calibri" w:hAnsi="Calibri"/>
                <w:i/>
                <w:iCs/>
                <w:sz w:val="18"/>
                <w:szCs w:val="18"/>
              </w:rPr>
              <w:br/>
            </w:r>
            <w:r>
              <w:rPr>
                <w:rFonts w:ascii="Calibri" w:hAnsi="Calibri"/>
                <w:sz w:val="18"/>
                <w:szCs w:val="18"/>
              </w:rPr>
              <w:t>* probíhá příprava ZD k VŘ 003 na projektové řízení</w:t>
            </w:r>
            <w:r>
              <w:rPr>
                <w:rFonts w:ascii="Calibri" w:hAnsi="Calibri"/>
                <w:sz w:val="18"/>
                <w:szCs w:val="18"/>
              </w:rPr>
              <w:br/>
              <w:t>* v souladu se stanoviskem ŘO IOP schváleno prodloužení realizace projektu do 30.11.2014</w:t>
            </w:r>
          </w:p>
        </w:tc>
        <w:tc>
          <w:tcPr>
            <w:tcW w:w="1394" w:type="dxa"/>
            <w:tcBorders>
              <w:top w:val="nil"/>
              <w:left w:val="nil"/>
              <w:bottom w:val="single" w:sz="4" w:space="0" w:color="auto"/>
              <w:right w:val="single" w:sz="4" w:space="0" w:color="auto"/>
            </w:tcBorders>
            <w:vAlign w:val="center"/>
          </w:tcPr>
          <w:p w:rsidR="00F644A3" w:rsidRPr="00C8708B" w:rsidRDefault="00F644A3" w:rsidP="009917EF">
            <w:pPr>
              <w:jc w:val="center"/>
              <w:rPr>
                <w:rFonts w:ascii="Calibri" w:hAnsi="Calibri"/>
                <w:sz w:val="48"/>
                <w:szCs w:val="18"/>
              </w:rPr>
            </w:pPr>
            <w:r w:rsidRPr="00C8708B">
              <w:rPr>
                <w:rFonts w:ascii="Calibri" w:hAnsi="Calibri"/>
                <w:sz w:val="48"/>
                <w:szCs w:val="18"/>
              </w:rPr>
              <w:t>=</w:t>
            </w:r>
          </w:p>
        </w:tc>
        <w:tc>
          <w:tcPr>
            <w:tcW w:w="1072" w:type="dxa"/>
            <w:tcBorders>
              <w:top w:val="nil"/>
              <w:left w:val="nil"/>
              <w:bottom w:val="single" w:sz="4" w:space="0" w:color="auto"/>
              <w:right w:val="single" w:sz="4" w:space="0" w:color="auto"/>
            </w:tcBorders>
            <w:vAlign w:val="center"/>
          </w:tcPr>
          <w:p w:rsidR="00F644A3" w:rsidRDefault="008F6453" w:rsidP="005E1956">
            <w:pPr>
              <w:jc w:val="center"/>
              <w:rPr>
                <w:rFonts w:ascii="Calibri" w:hAnsi="Calibri"/>
                <w:sz w:val="18"/>
                <w:szCs w:val="18"/>
              </w:rPr>
            </w:pPr>
            <w:r>
              <w:rPr>
                <w:rFonts w:ascii="Calibri" w:hAnsi="Calibri"/>
                <w:sz w:val="18"/>
                <w:szCs w:val="18"/>
              </w:rPr>
              <w:t>1,3,</w:t>
            </w:r>
            <w:r w:rsidR="00120FB9">
              <w:rPr>
                <w:rFonts w:ascii="Calibri" w:hAnsi="Calibri"/>
                <w:sz w:val="18"/>
                <w:szCs w:val="18"/>
              </w:rPr>
              <w:t>6</w:t>
            </w:r>
            <w:r w:rsidR="000F0DFC">
              <w:rPr>
                <w:rFonts w:ascii="Calibri" w:hAnsi="Calibri"/>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4</w:t>
            </w:r>
          </w:p>
        </w:tc>
      </w:tr>
      <w:tr w:rsidR="00F644A3" w:rsidTr="000C2885">
        <w:trPr>
          <w:trHeight w:val="2640"/>
          <w:jc w:val="center"/>
        </w:trPr>
        <w:tc>
          <w:tcPr>
            <w:tcW w:w="2065" w:type="dxa"/>
            <w:tcBorders>
              <w:top w:val="single" w:sz="4" w:space="0" w:color="auto"/>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Zajištění infrastruktury pro operační střediska základních složek IZS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CZ.1.06/1.1.00/07.06414</w:t>
            </w:r>
          </w:p>
        </w:tc>
        <w:tc>
          <w:tcPr>
            <w:tcW w:w="164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299 959 126,50</w:t>
            </w:r>
          </w:p>
        </w:tc>
        <w:tc>
          <w:tcPr>
            <w:tcW w:w="191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xml:space="preserve">* Probíhají implementační práce </w:t>
            </w:r>
            <w:r>
              <w:rPr>
                <w:rFonts w:ascii="Calibri" w:hAnsi="Calibri"/>
                <w:sz w:val="18"/>
                <w:szCs w:val="18"/>
              </w:rPr>
              <w:br/>
              <w:t>* Jako náhradní řešení pro nákup MPLS technologie bude použita jiná již uzavřená dílčí smlouva ČP OZ a bude také vyhlášena nová VZMR</w:t>
            </w:r>
            <w:r>
              <w:rPr>
                <w:rFonts w:ascii="Calibri" w:hAnsi="Calibri"/>
                <w:sz w:val="18"/>
                <w:szCs w:val="18"/>
              </w:rPr>
              <w:br/>
              <w:t>* V projektu probíhá kontrola NKÚ (IT a zakázky ČP OZ)</w:t>
            </w:r>
            <w:r>
              <w:rPr>
                <w:rFonts w:ascii="Calibri" w:hAnsi="Calibri"/>
                <w:sz w:val="18"/>
                <w:szCs w:val="18"/>
              </w:rPr>
              <w:br/>
              <w:t>* V souladu se stanoviskem ŘO IOP bylo schváleno prodloužení realizace projektu do 30. 11. 2015 a úprava etapizace zohledňující dílčí čerpání</w:t>
            </w:r>
          </w:p>
        </w:tc>
        <w:tc>
          <w:tcPr>
            <w:tcW w:w="1394" w:type="dxa"/>
            <w:tcBorders>
              <w:top w:val="single" w:sz="4" w:space="0" w:color="auto"/>
              <w:left w:val="nil"/>
              <w:bottom w:val="single" w:sz="4" w:space="0" w:color="auto"/>
              <w:right w:val="single" w:sz="4" w:space="0" w:color="auto"/>
            </w:tcBorders>
            <w:vAlign w:val="center"/>
          </w:tcPr>
          <w:p w:rsidR="00F644A3" w:rsidRPr="00C8708B" w:rsidRDefault="00F644A3" w:rsidP="009917EF">
            <w:pPr>
              <w:jc w:val="center"/>
              <w:rPr>
                <w:rFonts w:ascii="Calibri" w:hAnsi="Calibri"/>
                <w:sz w:val="48"/>
                <w:szCs w:val="18"/>
              </w:rPr>
            </w:pPr>
            <w:r w:rsidRPr="00C8708B">
              <w:rPr>
                <w:rFonts w:ascii="Calibri" w:hAnsi="Calibri"/>
                <w:sz w:val="48"/>
                <w:szCs w:val="18"/>
              </w:rPr>
              <w:t>=</w:t>
            </w:r>
          </w:p>
        </w:tc>
        <w:tc>
          <w:tcPr>
            <w:tcW w:w="1072" w:type="dxa"/>
            <w:tcBorders>
              <w:top w:val="single" w:sz="4" w:space="0" w:color="auto"/>
              <w:left w:val="nil"/>
              <w:bottom w:val="single" w:sz="4" w:space="0" w:color="auto"/>
              <w:right w:val="single" w:sz="4" w:space="0" w:color="auto"/>
            </w:tcBorders>
            <w:vAlign w:val="center"/>
          </w:tcPr>
          <w:p w:rsidR="00F644A3" w:rsidRDefault="003E7E25" w:rsidP="005E1956">
            <w:pPr>
              <w:jc w:val="center"/>
              <w:rPr>
                <w:rFonts w:ascii="Calibri" w:hAnsi="Calibri"/>
                <w:sz w:val="18"/>
                <w:szCs w:val="18"/>
              </w:rPr>
            </w:pPr>
            <w:r>
              <w:rPr>
                <w:rFonts w:ascii="Calibri" w:hAnsi="Calibri"/>
                <w:sz w:val="18"/>
                <w:szCs w:val="18"/>
              </w:rPr>
              <w:t>6</w:t>
            </w:r>
            <w:r w:rsidR="008F6453">
              <w:rPr>
                <w:rFonts w:ascii="Calibri" w:hAnsi="Calibri"/>
                <w:sz w:val="18"/>
                <w:szCs w:val="18"/>
              </w:rPr>
              <w:t>,7</w:t>
            </w:r>
            <w:r w:rsidR="000525B1">
              <w:rPr>
                <w:rFonts w:ascii="Calibri" w:hAnsi="Calibri"/>
                <w:sz w:val="18"/>
                <w:szCs w:val="18"/>
              </w:rPr>
              <w:t>/</w:t>
            </w:r>
            <w:r w:rsidR="00067B0A">
              <w:rPr>
                <w:rFonts w:ascii="Calibri" w:hAnsi="Calibri"/>
                <w:sz w:val="18"/>
                <w:szCs w:val="18"/>
              </w:rPr>
              <w:t>6,</w:t>
            </w:r>
            <w:r w:rsidR="00F644A3">
              <w:rPr>
                <w:rFonts w:ascii="Calibri" w:hAnsi="Calibri"/>
                <w:sz w:val="18"/>
                <w:szCs w:val="18"/>
              </w:rPr>
              <w:t>7</w:t>
            </w:r>
          </w:p>
        </w:tc>
        <w:tc>
          <w:tcPr>
            <w:tcW w:w="1072" w:type="dxa"/>
            <w:tcBorders>
              <w:top w:val="single" w:sz="4" w:space="0" w:color="auto"/>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12</w:t>
            </w:r>
          </w:p>
        </w:tc>
      </w:tr>
      <w:tr w:rsidR="00F644A3" w:rsidTr="005D13D5">
        <w:trPr>
          <w:trHeight w:val="153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Zajištění kybernetické bezpečnosti resortních IS a komunikační infrastruktury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CZ.1.06/1.1.00/17.09396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Koordinační středisko pro resortní zdravotnické informační systémy</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30.9.2015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75 127 690,00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sz w:val="18"/>
                <w:szCs w:val="18"/>
              </w:rPr>
            </w:pPr>
            <w:r>
              <w:rPr>
                <w:rFonts w:ascii="Calibri" w:hAnsi="Calibri"/>
                <w:sz w:val="18"/>
                <w:szCs w:val="18"/>
              </w:rPr>
              <w:t>• VZ 004 a 006 již ukončena</w:t>
            </w:r>
            <w:r>
              <w:rPr>
                <w:rFonts w:ascii="Calibri" w:hAnsi="Calibri"/>
                <w:sz w:val="18"/>
                <w:szCs w:val="18"/>
              </w:rPr>
              <w:br/>
              <w:t>• dosud nevydána Registrace akce a Stanovení výdajů na financování akce OSS, jelikož zde vznikla potřeba navýšit alokaci programu MZ ČR</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sz w:val="18"/>
                <w:szCs w:val="18"/>
              </w:rPr>
            </w:pPr>
            <w:r w:rsidRPr="00C8708B">
              <w:rPr>
                <w:rFonts w:ascii="Calibri" w:hAnsi="Calibri"/>
                <w:sz w:val="48"/>
                <w:szCs w:val="18"/>
              </w:rPr>
              <w:t>=</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sz w:val="18"/>
                <w:szCs w:val="18"/>
              </w:rPr>
            </w:pPr>
            <w:r>
              <w:rPr>
                <w:rFonts w:ascii="Calibri" w:hAnsi="Calibri"/>
                <w:sz w:val="18"/>
                <w:szCs w:val="18"/>
              </w:rPr>
              <w:t>-/</w:t>
            </w:r>
            <w:r w:rsidR="00F644A3">
              <w:rPr>
                <w:rFonts w:ascii="Calibri" w:hAnsi="Calibri"/>
                <w:sz w:val="18"/>
                <w:szCs w:val="18"/>
              </w:rPr>
              <w:t>4</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sz w:val="18"/>
                <w:szCs w:val="18"/>
              </w:rPr>
            </w:pPr>
            <w:r>
              <w:rPr>
                <w:rFonts w:ascii="Calibri" w:hAnsi="Calibri"/>
                <w:sz w:val="18"/>
                <w:szCs w:val="18"/>
              </w:rPr>
              <w:t>3</w:t>
            </w:r>
          </w:p>
        </w:tc>
      </w:tr>
      <w:tr w:rsidR="00F644A3" w:rsidTr="005D13D5">
        <w:trPr>
          <w:trHeight w:val="1440"/>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Zavádění ICT v územní veřejné správě - Letovice</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CZ.1.06/2.1.00/22.09646</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Město Letovice</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6.2.1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1 884 637,00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nedokončeno VŘ na dodavatele HW a SW (VZMR 2. kat), VŘ nebylo zahájeno, 4.6.2015 vrácena ZD - příjemce požaduje významné změny v technické specifikaci -expert na IT nedoporučil požadované změny schválit, nyní na stanovisku na ŘO</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Pr>
                <w:rFonts w:ascii="Calibri" w:hAnsi="Calibri"/>
                <w:color w:val="000000"/>
                <w:sz w:val="18"/>
                <w:szCs w:val="18"/>
              </w:rPr>
              <w:t>Nově zařazen</w:t>
            </w:r>
          </w:p>
        </w:tc>
        <w:tc>
          <w:tcPr>
            <w:tcW w:w="1072" w:type="dxa"/>
            <w:tcBorders>
              <w:top w:val="nil"/>
              <w:left w:val="nil"/>
              <w:bottom w:val="single" w:sz="4" w:space="0" w:color="auto"/>
              <w:right w:val="single" w:sz="4" w:space="0" w:color="auto"/>
            </w:tcBorders>
            <w:vAlign w:val="center"/>
          </w:tcPr>
          <w:p w:rsidR="00F644A3" w:rsidRDefault="000525B1" w:rsidP="005E1956">
            <w:pPr>
              <w:jc w:val="center"/>
              <w:rPr>
                <w:rFonts w:ascii="Calibri" w:hAnsi="Calibri"/>
                <w:color w:val="000000"/>
                <w:sz w:val="18"/>
                <w:szCs w:val="18"/>
              </w:rPr>
            </w:pPr>
            <w:r>
              <w:rPr>
                <w:rFonts w:ascii="Calibri" w:hAnsi="Calibri"/>
                <w:color w:val="000000"/>
                <w:sz w:val="18"/>
                <w:szCs w:val="18"/>
              </w:rPr>
              <w:t>-/</w:t>
            </w:r>
            <w:r w:rsidR="00F644A3">
              <w:rPr>
                <w:rFonts w:ascii="Calibri" w:hAnsi="Calibri"/>
                <w:color w:val="000000"/>
                <w:sz w:val="18"/>
                <w:szCs w:val="18"/>
              </w:rPr>
              <w:t>3</w:t>
            </w:r>
            <w:r w:rsidR="00FF71DF">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1</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t xml:space="preserve">Zlepšení technologického vybavení ZZS za účelem </w:t>
            </w:r>
            <w:r>
              <w:rPr>
                <w:rFonts w:ascii="Calibri" w:hAnsi="Calibri"/>
                <w:color w:val="000000"/>
              </w:rPr>
              <w:lastRenderedPageBreak/>
              <w:t>zvýšení efektivní akceschopnosti ZZS</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lastRenderedPageBreak/>
              <w:t>CZ.1.06/3.4.00/23.09560</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Ústecký kraj</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67 658 300,00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3E7E25" w:rsidP="005E1956">
            <w:pPr>
              <w:jc w:val="center"/>
              <w:rPr>
                <w:rFonts w:ascii="Calibri" w:hAnsi="Calibri"/>
                <w:color w:val="000000"/>
                <w:sz w:val="18"/>
                <w:szCs w:val="18"/>
              </w:rPr>
            </w:pPr>
            <w:r>
              <w:rPr>
                <w:rFonts w:ascii="Calibri" w:hAnsi="Calibri"/>
                <w:color w:val="000000"/>
                <w:sz w:val="18"/>
                <w:szCs w:val="18"/>
              </w:rPr>
              <w:t>6</w:t>
            </w:r>
            <w:r w:rsidR="000F0DFC">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r w:rsidR="00F644A3" w:rsidTr="005D13D5">
        <w:trPr>
          <w:trHeight w:val="765"/>
          <w:jc w:val="center"/>
        </w:trPr>
        <w:tc>
          <w:tcPr>
            <w:tcW w:w="2065"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rsidR="00F644A3" w:rsidRDefault="00F644A3">
            <w:pPr>
              <w:rPr>
                <w:rFonts w:ascii="Calibri" w:hAnsi="Calibri"/>
                <w:color w:val="000000"/>
              </w:rPr>
            </w:pPr>
            <w:r>
              <w:rPr>
                <w:rFonts w:ascii="Calibri" w:hAnsi="Calibri"/>
                <w:color w:val="000000"/>
              </w:rPr>
              <w:lastRenderedPageBreak/>
              <w:t>Zvýšení akceschopnosti Policie ČR při řešení mimořádných událostí</w:t>
            </w:r>
          </w:p>
        </w:tc>
        <w:tc>
          <w:tcPr>
            <w:tcW w:w="2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CZ.1.06/3.4.00/26.09654</w:t>
            </w:r>
          </w:p>
        </w:tc>
        <w:tc>
          <w:tcPr>
            <w:tcW w:w="16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Ministerstvo vnitra</w:t>
            </w:r>
          </w:p>
        </w:tc>
        <w:tc>
          <w:tcPr>
            <w:tcW w:w="97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6.3.4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color w:val="000000"/>
              </w:rPr>
            </w:pPr>
            <w:r>
              <w:rPr>
                <w:rFonts w:ascii="Calibri" w:hAnsi="Calibri"/>
                <w:color w:val="000000"/>
              </w:rPr>
              <w:t>30.11.2015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44A3" w:rsidRDefault="00F644A3">
            <w:pPr>
              <w:jc w:val="center"/>
              <w:rPr>
                <w:rFonts w:ascii="Calibri" w:hAnsi="Calibri"/>
              </w:rPr>
            </w:pPr>
            <w:r>
              <w:rPr>
                <w:rFonts w:ascii="Calibri" w:hAnsi="Calibri"/>
              </w:rPr>
              <w:t>1 071 609 000,00</w:t>
            </w:r>
          </w:p>
        </w:tc>
        <w:tc>
          <w:tcPr>
            <w:tcW w:w="191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644A3" w:rsidRDefault="00F644A3">
            <w:pPr>
              <w:rPr>
                <w:rFonts w:ascii="Calibri" w:hAnsi="Calibri"/>
                <w:color w:val="000000"/>
                <w:sz w:val="18"/>
                <w:szCs w:val="18"/>
              </w:rPr>
            </w:pPr>
            <w:r>
              <w:rPr>
                <w:rFonts w:ascii="Calibri" w:hAnsi="Calibri"/>
                <w:color w:val="000000"/>
                <w:sz w:val="18"/>
                <w:szCs w:val="18"/>
              </w:rPr>
              <w:t>Dosud nebyla ukončena všechna Nadlimitní VŘ v celkovém objemu cca 75 mil. Kč, projekt bude prodloužen do 31. 12. 2015</w:t>
            </w:r>
          </w:p>
        </w:tc>
        <w:tc>
          <w:tcPr>
            <w:tcW w:w="1394" w:type="dxa"/>
            <w:tcBorders>
              <w:top w:val="nil"/>
              <w:left w:val="nil"/>
              <w:bottom w:val="single" w:sz="4" w:space="0" w:color="auto"/>
              <w:right w:val="single" w:sz="4" w:space="0" w:color="auto"/>
            </w:tcBorders>
            <w:vAlign w:val="center"/>
          </w:tcPr>
          <w:p w:rsidR="00F644A3" w:rsidRDefault="00F644A3" w:rsidP="009917EF">
            <w:pPr>
              <w:jc w:val="center"/>
              <w:rPr>
                <w:rFonts w:ascii="Calibri" w:hAnsi="Calibri"/>
                <w:color w:val="000000"/>
                <w:sz w:val="18"/>
                <w:szCs w:val="18"/>
              </w:rPr>
            </w:pPr>
            <w:r w:rsidRPr="009B23FC">
              <w:rPr>
                <w:rFonts w:ascii="Times New Roman" w:hAnsi="Times New Roman"/>
                <w:color w:val="FF0000"/>
                <w:sz w:val="48"/>
                <w:szCs w:val="18"/>
              </w:rPr>
              <w:t>↑</w:t>
            </w:r>
          </w:p>
        </w:tc>
        <w:tc>
          <w:tcPr>
            <w:tcW w:w="1072" w:type="dxa"/>
            <w:tcBorders>
              <w:top w:val="nil"/>
              <w:left w:val="nil"/>
              <w:bottom w:val="single" w:sz="4" w:space="0" w:color="auto"/>
              <w:right w:val="single" w:sz="4" w:space="0" w:color="auto"/>
            </w:tcBorders>
            <w:vAlign w:val="center"/>
          </w:tcPr>
          <w:p w:rsidR="00F644A3" w:rsidRDefault="003E7E25" w:rsidP="005E1956">
            <w:pPr>
              <w:jc w:val="center"/>
              <w:rPr>
                <w:rFonts w:ascii="Calibri" w:hAnsi="Calibri"/>
                <w:color w:val="000000"/>
                <w:sz w:val="18"/>
                <w:szCs w:val="18"/>
              </w:rPr>
            </w:pPr>
            <w:r>
              <w:rPr>
                <w:rFonts w:ascii="Calibri" w:hAnsi="Calibri"/>
                <w:color w:val="000000"/>
                <w:sz w:val="18"/>
                <w:szCs w:val="18"/>
              </w:rPr>
              <w:t>6</w:t>
            </w:r>
            <w:r w:rsidR="000525B1">
              <w:rPr>
                <w:rFonts w:ascii="Calibri" w:hAnsi="Calibri"/>
                <w:color w:val="000000"/>
                <w:sz w:val="18"/>
                <w:szCs w:val="18"/>
              </w:rPr>
              <w:t>/</w:t>
            </w:r>
            <w:r w:rsidR="00F644A3">
              <w:rPr>
                <w:rFonts w:ascii="Calibri" w:hAnsi="Calibri"/>
                <w:color w:val="000000"/>
                <w:sz w:val="18"/>
                <w:szCs w:val="18"/>
              </w:rPr>
              <w:t>3</w:t>
            </w:r>
            <w:r w:rsidR="00FF71DF">
              <w:rPr>
                <w:rFonts w:ascii="Calibri" w:hAnsi="Calibri"/>
                <w:color w:val="000000"/>
                <w:sz w:val="18"/>
                <w:szCs w:val="18"/>
              </w:rPr>
              <w:t>,6</w:t>
            </w:r>
          </w:p>
        </w:tc>
        <w:tc>
          <w:tcPr>
            <w:tcW w:w="1072" w:type="dxa"/>
            <w:tcBorders>
              <w:top w:val="nil"/>
              <w:left w:val="nil"/>
              <w:bottom w:val="single" w:sz="4" w:space="0" w:color="auto"/>
              <w:right w:val="single" w:sz="4" w:space="0" w:color="auto"/>
            </w:tcBorders>
            <w:vAlign w:val="center"/>
          </w:tcPr>
          <w:p w:rsidR="00F644A3" w:rsidRDefault="005D13D5" w:rsidP="005D13D5">
            <w:pPr>
              <w:jc w:val="center"/>
              <w:rPr>
                <w:rFonts w:ascii="Calibri" w:hAnsi="Calibri"/>
                <w:color w:val="000000"/>
                <w:sz w:val="18"/>
                <w:szCs w:val="18"/>
              </w:rPr>
            </w:pPr>
            <w:r>
              <w:rPr>
                <w:rFonts w:ascii="Calibri" w:hAnsi="Calibri"/>
                <w:color w:val="000000"/>
                <w:sz w:val="18"/>
                <w:szCs w:val="18"/>
              </w:rPr>
              <w:t>3</w:t>
            </w:r>
          </w:p>
        </w:tc>
      </w:tr>
    </w:tbl>
    <w:p w:rsidR="0082529F" w:rsidRDefault="00252871" w:rsidP="00D944D2">
      <w:pPr>
        <w:spacing w:after="200" w:line="276" w:lineRule="auto"/>
        <w:rPr>
          <w:rFonts w:asciiTheme="minorHAnsi" w:eastAsiaTheme="minorHAnsi" w:hAnsiTheme="minorHAnsi" w:cstheme="minorBidi"/>
          <w:sz w:val="22"/>
          <w:szCs w:val="22"/>
          <w:lang w:eastAsia="en-US"/>
        </w:rPr>
      </w:pPr>
      <w:r>
        <w:rPr>
          <w:rFonts w:eastAsiaTheme="minorHAnsi"/>
          <w:lang w:eastAsia="en-US"/>
        </w:rPr>
        <w:t xml:space="preserve"> </w:t>
      </w:r>
      <w:r w:rsidR="001E7B5C">
        <w:rPr>
          <w:rFonts w:eastAsiaTheme="minorHAnsi"/>
          <w:lang w:eastAsia="en-US"/>
        </w:rPr>
        <w:fldChar w:fldCharType="begin"/>
      </w:r>
      <w:r w:rsidR="001E7B5C">
        <w:rPr>
          <w:rFonts w:eastAsiaTheme="minorHAnsi"/>
          <w:lang w:eastAsia="en-US"/>
        </w:rPr>
        <w:instrText xml:space="preserve"> LINK </w:instrText>
      </w:r>
      <w:r w:rsidR="00793640">
        <w:rPr>
          <w:rFonts w:eastAsiaTheme="minorHAnsi"/>
          <w:lang w:eastAsia="en-US"/>
        </w:rPr>
        <w:instrText xml:space="preserve">Excel.Sheet.12 "C:\\Users\\horjak\\Desktop\\Kopie - rizikové projekty_7-2015_červenec.xlsx" "Vysoce rizikové_7-2015!R2C3:R51C9" </w:instrText>
      </w:r>
      <w:r w:rsidR="001E7B5C">
        <w:rPr>
          <w:rFonts w:eastAsiaTheme="minorHAnsi"/>
          <w:lang w:eastAsia="en-US"/>
        </w:rPr>
        <w:instrText xml:space="preserve">\a \f 4 \h </w:instrText>
      </w:r>
      <w:r w:rsidR="001E7B5C">
        <w:rPr>
          <w:rFonts w:eastAsiaTheme="minorHAnsi"/>
          <w:lang w:eastAsia="en-US"/>
        </w:rPr>
        <w:fldChar w:fldCharType="separate"/>
      </w:r>
    </w:p>
    <w:p w:rsidR="00D944D2" w:rsidRDefault="001E7B5C" w:rsidP="00D944D2">
      <w:pPr>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fldChar w:fldCharType="end"/>
      </w:r>
    </w:p>
    <w:p w:rsidR="001E7B5C" w:rsidRDefault="001E7B5C" w:rsidP="00D944D2">
      <w:pPr>
        <w:spacing w:after="200" w:line="276" w:lineRule="auto"/>
        <w:rPr>
          <w:rFonts w:asciiTheme="minorHAnsi" w:eastAsiaTheme="minorHAnsi" w:hAnsiTheme="minorHAnsi" w:cstheme="minorBidi"/>
          <w:b/>
          <w:lang w:eastAsia="en-US"/>
        </w:rPr>
      </w:pPr>
    </w:p>
    <w:p w:rsidR="001E7B5C" w:rsidRDefault="006B795D" w:rsidP="006B795D">
      <w:pPr>
        <w:tabs>
          <w:tab w:val="left" w:pos="6285"/>
        </w:tabs>
        <w:spacing w:after="200"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ab/>
      </w:r>
    </w:p>
    <w:p w:rsidR="001E7B5C" w:rsidRDefault="001E7B5C" w:rsidP="00D944D2">
      <w:pPr>
        <w:spacing w:after="200" w:line="276" w:lineRule="auto"/>
        <w:rPr>
          <w:rFonts w:asciiTheme="minorHAnsi" w:eastAsiaTheme="minorHAnsi" w:hAnsiTheme="minorHAnsi" w:cstheme="minorBidi"/>
          <w:b/>
          <w:lang w:eastAsia="en-US"/>
        </w:rPr>
      </w:pPr>
    </w:p>
    <w:p w:rsidR="001E7B5C" w:rsidRDefault="001E7B5C" w:rsidP="00D944D2">
      <w:pPr>
        <w:spacing w:after="200" w:line="276" w:lineRule="auto"/>
        <w:rPr>
          <w:rFonts w:asciiTheme="minorHAnsi" w:eastAsiaTheme="minorHAnsi" w:hAnsiTheme="minorHAnsi" w:cstheme="minorBidi"/>
          <w:b/>
          <w:lang w:eastAsia="en-US"/>
        </w:rPr>
      </w:pPr>
    </w:p>
    <w:p w:rsidR="001E7B5C" w:rsidRDefault="001E7B5C" w:rsidP="00D944D2">
      <w:pPr>
        <w:spacing w:after="200" w:line="276" w:lineRule="auto"/>
        <w:rPr>
          <w:rFonts w:asciiTheme="minorHAnsi" w:eastAsiaTheme="minorHAnsi" w:hAnsiTheme="minorHAnsi" w:cstheme="minorBidi"/>
          <w:b/>
          <w:lang w:eastAsia="en-US"/>
        </w:rPr>
      </w:pPr>
    </w:p>
    <w:p w:rsidR="001E7B5C" w:rsidRDefault="001E7B5C" w:rsidP="00D944D2">
      <w:pPr>
        <w:spacing w:after="200" w:line="276" w:lineRule="auto"/>
        <w:rPr>
          <w:rFonts w:asciiTheme="minorHAnsi" w:eastAsiaTheme="minorHAnsi" w:hAnsiTheme="minorHAnsi" w:cstheme="minorBidi"/>
          <w:b/>
          <w:lang w:eastAsia="en-US"/>
        </w:rPr>
      </w:pPr>
    </w:p>
    <w:p w:rsidR="006704C4" w:rsidRDefault="006704C4">
      <w:pPr>
        <w:spacing w:after="200" w:line="276" w:lineRule="auto"/>
        <w:rPr>
          <w:rFonts w:asciiTheme="minorHAnsi" w:eastAsiaTheme="minorHAnsi" w:hAnsiTheme="minorHAnsi" w:cstheme="minorBidi"/>
          <w:b/>
          <w:sz w:val="26"/>
          <w:szCs w:val="26"/>
          <w:lang w:eastAsia="en-US"/>
        </w:rPr>
      </w:pPr>
      <w:r>
        <w:rPr>
          <w:rFonts w:asciiTheme="minorHAnsi" w:eastAsiaTheme="minorHAnsi" w:hAnsiTheme="minorHAnsi" w:cstheme="minorBidi"/>
          <w:b/>
          <w:sz w:val="26"/>
          <w:szCs w:val="26"/>
          <w:lang w:eastAsia="en-US"/>
        </w:rPr>
        <w:br w:type="page"/>
      </w:r>
    </w:p>
    <w:p w:rsidR="00D944D2" w:rsidRPr="00D944D2" w:rsidRDefault="00D944D2" w:rsidP="00D944D2">
      <w:pPr>
        <w:spacing w:after="200" w:line="276" w:lineRule="auto"/>
        <w:rPr>
          <w:rFonts w:asciiTheme="minorHAnsi" w:eastAsiaTheme="minorHAnsi" w:hAnsiTheme="minorHAnsi" w:cstheme="minorBidi"/>
          <w:b/>
          <w:sz w:val="26"/>
          <w:szCs w:val="26"/>
          <w:lang w:eastAsia="en-US"/>
        </w:rPr>
      </w:pPr>
      <w:r w:rsidRPr="00D944D2">
        <w:rPr>
          <w:rFonts w:asciiTheme="minorHAnsi" w:eastAsiaTheme="minorHAnsi" w:hAnsiTheme="minorHAnsi" w:cstheme="minorBidi"/>
          <w:b/>
          <w:sz w:val="26"/>
          <w:szCs w:val="26"/>
          <w:lang w:eastAsia="en-US"/>
        </w:rPr>
        <w:lastRenderedPageBreak/>
        <w:t>Rizikové projekty</w:t>
      </w:r>
    </w:p>
    <w:tbl>
      <w:tblPr>
        <w:tblW w:w="15418" w:type="dxa"/>
        <w:tblCellMar>
          <w:left w:w="0" w:type="dxa"/>
          <w:right w:w="0" w:type="dxa"/>
        </w:tblCellMar>
        <w:tblLook w:val="04A0" w:firstRow="1" w:lastRow="0" w:firstColumn="1" w:lastColumn="0" w:noHBand="0" w:noVBand="1"/>
      </w:tblPr>
      <w:tblGrid>
        <w:gridCol w:w="2973"/>
        <w:gridCol w:w="2057"/>
        <w:gridCol w:w="1382"/>
        <w:gridCol w:w="833"/>
        <w:gridCol w:w="1031"/>
        <w:gridCol w:w="1662"/>
        <w:gridCol w:w="1758"/>
        <w:gridCol w:w="1360"/>
        <w:gridCol w:w="1206"/>
        <w:gridCol w:w="1156"/>
      </w:tblGrid>
      <w:tr w:rsidR="00914075" w:rsidTr="000525B1">
        <w:trPr>
          <w:trHeight w:val="1125"/>
        </w:trPr>
        <w:tc>
          <w:tcPr>
            <w:tcW w:w="2973"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Název projektu</w:t>
            </w:r>
          </w:p>
        </w:tc>
        <w:tc>
          <w:tcPr>
            <w:tcW w:w="2057"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rPr>
                <w:rFonts w:cs="Arial"/>
                <w:b/>
                <w:bCs/>
                <w:color w:val="000000"/>
              </w:rPr>
            </w:pPr>
            <w:r>
              <w:rPr>
                <w:rFonts w:cs="Arial"/>
                <w:b/>
                <w:bCs/>
                <w:color w:val="000000"/>
              </w:rPr>
              <w:t>Reg. číslo projektu</w:t>
            </w:r>
          </w:p>
        </w:tc>
        <w:tc>
          <w:tcPr>
            <w:tcW w:w="1382"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Název žadatele</w:t>
            </w:r>
          </w:p>
        </w:tc>
        <w:tc>
          <w:tcPr>
            <w:tcW w:w="833"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Oblast podpory</w:t>
            </w:r>
          </w:p>
        </w:tc>
        <w:tc>
          <w:tcPr>
            <w:tcW w:w="1031"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Plánované datum ukončení projektu</w:t>
            </w:r>
          </w:p>
        </w:tc>
        <w:tc>
          <w:tcPr>
            <w:tcW w:w="1662"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 xml:space="preserve">SF+SR rozhodnutí v Kč </w:t>
            </w:r>
          </w:p>
        </w:tc>
        <w:tc>
          <w:tcPr>
            <w:tcW w:w="179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914075" w:rsidRDefault="00914075">
            <w:pPr>
              <w:jc w:val="center"/>
              <w:rPr>
                <w:rFonts w:cs="Arial"/>
                <w:b/>
                <w:bCs/>
                <w:color w:val="000000"/>
              </w:rPr>
            </w:pPr>
            <w:r>
              <w:rPr>
                <w:rFonts w:cs="Arial"/>
                <w:b/>
                <w:bCs/>
                <w:color w:val="000000"/>
              </w:rPr>
              <w:t>Aktuální problém</w:t>
            </w:r>
          </w:p>
        </w:tc>
        <w:tc>
          <w:tcPr>
            <w:tcW w:w="1381" w:type="dxa"/>
            <w:tcBorders>
              <w:top w:val="single" w:sz="4" w:space="0" w:color="auto"/>
              <w:left w:val="nil"/>
              <w:bottom w:val="single" w:sz="4" w:space="0" w:color="auto"/>
              <w:right w:val="single" w:sz="4" w:space="0" w:color="auto"/>
            </w:tcBorders>
            <w:shd w:val="clear" w:color="000000" w:fill="C0C0C0"/>
            <w:vAlign w:val="center"/>
          </w:tcPr>
          <w:p w:rsidR="00914075" w:rsidRDefault="00914075" w:rsidP="00753759">
            <w:pPr>
              <w:jc w:val="center"/>
              <w:rPr>
                <w:rFonts w:cs="Arial"/>
                <w:b/>
                <w:bCs/>
                <w:color w:val="000000"/>
              </w:rPr>
            </w:pPr>
            <w:r>
              <w:rPr>
                <w:rFonts w:cs="Arial"/>
                <w:b/>
                <w:bCs/>
                <w:color w:val="000000"/>
              </w:rPr>
              <w:t>Posun</w:t>
            </w:r>
            <w:r>
              <w:rPr>
                <w:rFonts w:eastAsiaTheme="majorEastAsia" w:cstheme="majorBidi"/>
                <w:b/>
                <w:bCs/>
                <w:sz w:val="28"/>
                <w:szCs w:val="28"/>
              </w:rPr>
              <w:t xml:space="preserve"> </w:t>
            </w:r>
            <w:r>
              <w:rPr>
                <w:rFonts w:cs="Arial"/>
                <w:b/>
                <w:bCs/>
                <w:color w:val="000000"/>
              </w:rPr>
              <w:t>v</w:t>
            </w:r>
            <w:r w:rsidRPr="00D455D1">
              <w:rPr>
                <w:rFonts w:eastAsiaTheme="majorEastAsia" w:cstheme="majorBidi"/>
                <w:b/>
                <w:bCs/>
                <w:sz w:val="28"/>
                <w:szCs w:val="28"/>
              </w:rPr>
              <w:t> </w:t>
            </w:r>
            <w:r>
              <w:rPr>
                <w:rFonts w:cs="Arial"/>
                <w:b/>
                <w:bCs/>
                <w:color w:val="000000"/>
              </w:rPr>
              <w:t>rizikovosti</w:t>
            </w:r>
          </w:p>
        </w:tc>
        <w:tc>
          <w:tcPr>
            <w:tcW w:w="1232" w:type="dxa"/>
            <w:tcBorders>
              <w:top w:val="single" w:sz="4" w:space="0" w:color="auto"/>
              <w:left w:val="single" w:sz="4" w:space="0" w:color="auto"/>
              <w:bottom w:val="single" w:sz="4" w:space="0" w:color="auto"/>
              <w:right w:val="single" w:sz="4" w:space="0" w:color="auto"/>
            </w:tcBorders>
            <w:shd w:val="clear" w:color="000000" w:fill="C0C0C0"/>
            <w:vAlign w:val="center"/>
          </w:tcPr>
          <w:p w:rsidR="00914075" w:rsidRPr="00FC0A33" w:rsidRDefault="00914075" w:rsidP="000525B1">
            <w:pPr>
              <w:jc w:val="center"/>
              <w:rPr>
                <w:rFonts w:cs="Arial"/>
                <w:b/>
                <w:bCs/>
                <w:color w:val="000000"/>
              </w:rPr>
            </w:pPr>
            <w:r>
              <w:rPr>
                <w:rFonts w:cs="Arial"/>
                <w:b/>
                <w:bCs/>
                <w:color w:val="000000"/>
              </w:rPr>
              <w:t>Parametr rizikovosti</w:t>
            </w:r>
          </w:p>
        </w:tc>
        <w:tc>
          <w:tcPr>
            <w:tcW w:w="1077" w:type="dxa"/>
            <w:tcBorders>
              <w:top w:val="single" w:sz="4" w:space="0" w:color="auto"/>
              <w:left w:val="single" w:sz="4" w:space="0" w:color="auto"/>
              <w:bottom w:val="single" w:sz="4" w:space="0" w:color="auto"/>
              <w:right w:val="single" w:sz="4" w:space="0" w:color="auto"/>
            </w:tcBorders>
            <w:shd w:val="clear" w:color="000000" w:fill="C0C0C0"/>
            <w:vAlign w:val="center"/>
          </w:tcPr>
          <w:p w:rsidR="00914075" w:rsidRDefault="00914075" w:rsidP="000525B1">
            <w:pPr>
              <w:jc w:val="center"/>
              <w:rPr>
                <w:rFonts w:cs="Arial"/>
                <w:b/>
                <w:bCs/>
                <w:color w:val="000000"/>
              </w:rPr>
            </w:pPr>
            <w:r>
              <w:rPr>
                <w:rFonts w:cs="Arial"/>
                <w:b/>
                <w:bCs/>
                <w:color w:val="000000"/>
              </w:rPr>
              <w:t>Počet výskytů v rizikových projektech</w:t>
            </w:r>
            <w:r>
              <w:rPr>
                <w:rStyle w:val="Znakapoznpodarou"/>
                <w:rFonts w:cs="Arial"/>
                <w:b/>
                <w:bCs/>
                <w:color w:val="000000"/>
              </w:rPr>
              <w:footnoteReference w:id="2"/>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Barokní Velehrad</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CZ.1.06/5.1.00/24.09579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Římskokatolická farnost Velehrad</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75 104 493,43</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Riziko nedokončení restaurátorských prací v termínu - harmonogram projektu nemá rezervu pro případné problémy.</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p w:rsidR="00914075" w:rsidRPr="00546333" w:rsidRDefault="00914075" w:rsidP="001006D1">
            <w:pPr>
              <w:jc w:val="center"/>
              <w:rPr>
                <w:rFonts w:ascii="Calibri" w:hAnsi="Calibri"/>
              </w:rPr>
            </w:pPr>
          </w:p>
        </w:tc>
        <w:tc>
          <w:tcPr>
            <w:tcW w:w="1232" w:type="dxa"/>
            <w:tcBorders>
              <w:top w:val="nil"/>
              <w:left w:val="nil"/>
              <w:bottom w:val="single" w:sz="4" w:space="0" w:color="auto"/>
              <w:right w:val="single" w:sz="4" w:space="0" w:color="auto"/>
            </w:tcBorders>
            <w:vAlign w:val="center"/>
          </w:tcPr>
          <w:p w:rsidR="00914075" w:rsidRDefault="006B5426" w:rsidP="000525B1">
            <w:pPr>
              <w:jc w:val="center"/>
              <w:rPr>
                <w:rFonts w:ascii="Calibri" w:hAnsi="Calibri"/>
                <w:color w:val="000000"/>
              </w:rPr>
            </w:pPr>
            <w:r>
              <w:rPr>
                <w:rFonts w:ascii="Calibri" w:hAnsi="Calibri"/>
                <w:color w:val="000000"/>
              </w:rPr>
              <w:t>-</w:t>
            </w:r>
            <w:r w:rsidR="00F57125">
              <w:rPr>
                <w:rFonts w:ascii="Calibri" w:hAnsi="Calibri"/>
                <w:color w:val="000000"/>
              </w:rPr>
              <w:t>/6</w:t>
            </w:r>
          </w:p>
        </w:tc>
        <w:tc>
          <w:tcPr>
            <w:tcW w:w="1077" w:type="dxa"/>
            <w:tcBorders>
              <w:top w:val="nil"/>
              <w:left w:val="nil"/>
              <w:bottom w:val="single" w:sz="4" w:space="0" w:color="auto"/>
              <w:right w:val="single" w:sz="4" w:space="0" w:color="auto"/>
            </w:tcBorders>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Bezpečnostní infrastruktura technologického centra Pardubického kraje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CZ.1.06/2.1.00/19.09279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Pardubický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5 100 000,00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zatím není dokončeno nadlimitní ZŘ na bezpečnostní infrastrukturu TC - dokumentace před podpisem SoD schválena 2. 6. 2015; v případě potřeby je možné prodloužit realizaci projektu o 2měsíce</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525B1" w:rsidP="000525B1">
            <w:pPr>
              <w:jc w:val="center"/>
              <w:rPr>
                <w:rFonts w:ascii="Calibri" w:hAnsi="Calibri"/>
                <w:color w:val="000000"/>
              </w:rPr>
            </w:pPr>
            <w:r>
              <w:rPr>
                <w:rFonts w:ascii="Calibri" w:hAnsi="Calibri"/>
                <w:color w:val="000000"/>
              </w:rPr>
              <w:t>-/</w:t>
            </w:r>
            <w:r w:rsidR="00914075">
              <w:rPr>
                <w:rFonts w:ascii="Calibri" w:hAnsi="Calibri"/>
                <w:color w:val="000000"/>
              </w:rPr>
              <w:t>2</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Blovice - Informační služby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CZ.1.06/2.1.00/22.09489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Blovice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2 125 000,00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předpokládané datum ukončení VŘ 08/2015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C24C8F"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102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Centrální místo ICT služeb města Olešnice</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CZ.1.06/2.1.00/22.09516</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Olešnice</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2 165 074,00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dodávku a komplementaci ICT - probíhá kontrola dokumentace před podpisem SoD</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C24C8F" w:rsidP="000525B1">
            <w:pPr>
              <w:jc w:val="center"/>
              <w:rPr>
                <w:rFonts w:ascii="Calibri" w:hAnsi="Calibri"/>
                <w:color w:val="000000"/>
              </w:rPr>
            </w:pPr>
            <w:r>
              <w:rPr>
                <w:rFonts w:ascii="Calibri" w:hAnsi="Calibri"/>
                <w:color w:val="000000"/>
              </w:rPr>
              <w:t>-/-</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Centrum stavitelského dědictví v Plasích</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CZ.1.06/5.1.00/01.05477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NÁRODNÍ TECHNICKÉ MUSEUM</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30.9.2015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337 346 958,00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Neplnění harmonogramu projektu, resp. realizace VŘ. Harmonogram projektu nemá časovou rezervu pro případné problémy při výběru dodavatel, potažmo smluvním plněním.    </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single" w:sz="4" w:space="0" w:color="auto"/>
              <w:bottom w:val="single" w:sz="4" w:space="0" w:color="auto"/>
              <w:right w:val="single" w:sz="4" w:space="0" w:color="auto"/>
            </w:tcBorders>
            <w:vAlign w:val="center"/>
          </w:tcPr>
          <w:p w:rsidR="00914075" w:rsidRDefault="006B5426" w:rsidP="000525B1">
            <w:pPr>
              <w:jc w:val="center"/>
              <w:rPr>
                <w:rFonts w:ascii="Calibri" w:hAnsi="Calibri"/>
                <w:color w:val="000000"/>
              </w:rPr>
            </w:pPr>
            <w:r>
              <w:rPr>
                <w:rFonts w:ascii="Calibri" w:hAnsi="Calibri"/>
                <w:color w:val="000000"/>
              </w:rPr>
              <w:t>-</w:t>
            </w:r>
            <w:r w:rsidR="00F57125">
              <w:rPr>
                <w:rFonts w:ascii="Calibri" w:hAnsi="Calibri"/>
                <w:color w:val="000000"/>
              </w:rPr>
              <w:t>/</w:t>
            </w:r>
            <w:r w:rsidR="00914075">
              <w:rPr>
                <w:rFonts w:ascii="Calibri" w:hAnsi="Calibri"/>
                <w:color w:val="000000"/>
              </w:rPr>
              <w:t>3,6</w:t>
            </w:r>
          </w:p>
        </w:tc>
        <w:tc>
          <w:tcPr>
            <w:tcW w:w="1077" w:type="dxa"/>
            <w:tcBorders>
              <w:top w:val="nil"/>
              <w:left w:val="single" w:sz="4" w:space="0" w:color="auto"/>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2</w:t>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České hory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CZ.1.06/4.1.00/25.09702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Horská služba ČR, o.p.s.</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26 003 042,00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Neplnění harmonogramu projektu, resp. realizace VŘ. Není časový prostor pro opakování dosud neukončených VŘ. </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sidRPr="00672784">
              <w:rPr>
                <w:rFonts w:ascii="Times New Roman" w:hAnsi="Times New Roman"/>
                <w:color w:val="00B050"/>
                <w:sz w:val="48"/>
              </w:rPr>
              <w:t>↓</w:t>
            </w:r>
          </w:p>
        </w:tc>
        <w:tc>
          <w:tcPr>
            <w:tcW w:w="1232" w:type="dxa"/>
            <w:tcBorders>
              <w:top w:val="nil"/>
              <w:left w:val="nil"/>
              <w:bottom w:val="single" w:sz="4" w:space="0" w:color="auto"/>
              <w:right w:val="single" w:sz="4" w:space="0" w:color="auto"/>
            </w:tcBorders>
            <w:vAlign w:val="center"/>
          </w:tcPr>
          <w:p w:rsidR="00914075" w:rsidRDefault="00F57125" w:rsidP="000525B1">
            <w:pPr>
              <w:jc w:val="center"/>
              <w:rPr>
                <w:rFonts w:ascii="Calibri" w:hAnsi="Calibri"/>
                <w:color w:val="000000"/>
              </w:rPr>
            </w:pPr>
            <w:r>
              <w:rPr>
                <w:rFonts w:ascii="Calibri" w:hAnsi="Calibri"/>
                <w:color w:val="000000"/>
              </w:rPr>
              <w:t>6/</w:t>
            </w:r>
            <w:r w:rsidR="00914075">
              <w:rPr>
                <w:rFonts w:ascii="Calibri" w:hAnsi="Calibri"/>
                <w:color w:val="000000"/>
              </w:rPr>
              <w:t>3,6</w:t>
            </w:r>
          </w:p>
        </w:tc>
        <w:tc>
          <w:tcPr>
            <w:tcW w:w="1077" w:type="dxa"/>
            <w:tcBorders>
              <w:top w:val="nil"/>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1</w:t>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České hory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CZ.1.06/4.1.00/25.09701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Horská služba ČR, o.p.s.</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2 000 237,00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Neplnění harmonogramu projektu, resp. realizace VŘ. Není časový prostor pro opakování dosud neukončených VŘ. </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sidRPr="00672784">
              <w:rPr>
                <w:rFonts w:ascii="Times New Roman" w:hAnsi="Times New Roman"/>
                <w:color w:val="00B050"/>
                <w:sz w:val="48"/>
              </w:rPr>
              <w:t>↓</w:t>
            </w:r>
          </w:p>
        </w:tc>
        <w:tc>
          <w:tcPr>
            <w:tcW w:w="1232" w:type="dxa"/>
            <w:tcBorders>
              <w:top w:val="nil"/>
              <w:left w:val="nil"/>
              <w:bottom w:val="single" w:sz="4" w:space="0" w:color="auto"/>
              <w:right w:val="single" w:sz="4" w:space="0" w:color="auto"/>
            </w:tcBorders>
            <w:vAlign w:val="center"/>
          </w:tcPr>
          <w:p w:rsidR="00914075" w:rsidRDefault="00F57125" w:rsidP="000525B1">
            <w:pPr>
              <w:jc w:val="center"/>
              <w:rPr>
                <w:rFonts w:ascii="Calibri" w:hAnsi="Calibri"/>
                <w:color w:val="000000"/>
              </w:rPr>
            </w:pPr>
            <w:r>
              <w:rPr>
                <w:rFonts w:ascii="Calibri" w:hAnsi="Calibri"/>
                <w:color w:val="000000"/>
              </w:rPr>
              <w:t>6/</w:t>
            </w:r>
            <w:r w:rsidR="00914075">
              <w:rPr>
                <w:rFonts w:ascii="Calibri" w:hAnsi="Calibri"/>
                <w:color w:val="000000"/>
              </w:rPr>
              <w:t>3,6</w:t>
            </w:r>
          </w:p>
        </w:tc>
        <w:tc>
          <w:tcPr>
            <w:tcW w:w="1077" w:type="dxa"/>
            <w:tcBorders>
              <w:top w:val="nil"/>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1</w:t>
            </w: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Česko - naše destinace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CZ.1.06/4.1.00/12.09502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ČESKÁ CENTRÁLA CESTOVNÍHO RUCHU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102 142 857,00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rsidP="000C23EC">
            <w:pPr>
              <w:rPr>
                <w:rFonts w:ascii="Calibri" w:hAnsi="Calibri"/>
                <w:color w:val="000000"/>
              </w:rPr>
            </w:pPr>
            <w:r w:rsidRPr="005E1A27">
              <w:rPr>
                <w:rFonts w:ascii="Calibri" w:hAnsi="Calibri"/>
                <w:color w:val="000000"/>
              </w:rPr>
              <w:t>Zpoždění v realizaci z důvodu opakovaných VŘ</w:t>
            </w:r>
            <w:r>
              <w:rPr>
                <w:rFonts w:ascii="Calibri" w:hAnsi="Calibri"/>
                <w:color w:val="000000"/>
              </w:rPr>
              <w:t xml:space="preserve">. </w:t>
            </w:r>
            <w:r w:rsidRPr="005E1A27">
              <w:rPr>
                <w:rFonts w:ascii="Calibri" w:hAnsi="Calibri"/>
                <w:color w:val="000000"/>
              </w:rPr>
              <w:t xml:space="preserve">Projekt je v souladu s aktualizovaným harmonogramem, dosud neukončené </w:t>
            </w:r>
            <w:r w:rsidRPr="005E1A27">
              <w:rPr>
                <w:rFonts w:ascii="Calibri" w:hAnsi="Calibri"/>
                <w:color w:val="000000"/>
              </w:rPr>
              <w:lastRenderedPageBreak/>
              <w:t xml:space="preserve">NADL VŘ  ve stádiu hodnocení přijatých nabídek (v případě problémů odvolání uchazečů nicméně není časový prostor pro jeho opakování) s vazbou na naplňování cíle projektu a MI.    </w:t>
            </w:r>
          </w:p>
        </w:tc>
        <w:tc>
          <w:tcPr>
            <w:tcW w:w="1381" w:type="dxa"/>
            <w:tcBorders>
              <w:top w:val="nil"/>
              <w:left w:val="single" w:sz="4" w:space="0" w:color="auto"/>
              <w:bottom w:val="single" w:sz="4" w:space="0" w:color="auto"/>
              <w:right w:val="single" w:sz="4" w:space="0" w:color="auto"/>
            </w:tcBorders>
            <w:vAlign w:val="center"/>
          </w:tcPr>
          <w:p w:rsidR="00914075" w:rsidRPr="005E1A27" w:rsidRDefault="00914075" w:rsidP="001006D1">
            <w:pPr>
              <w:jc w:val="center"/>
              <w:rPr>
                <w:rFonts w:ascii="Calibri" w:hAnsi="Calibri"/>
                <w:color w:val="000000"/>
              </w:rPr>
            </w:pPr>
            <w:r w:rsidRPr="00AD1198">
              <w:rPr>
                <w:rFonts w:ascii="Calibri" w:hAnsi="Calibri"/>
                <w:sz w:val="48"/>
                <w:szCs w:val="18"/>
              </w:rPr>
              <w:lastRenderedPageBreak/>
              <w:t>=</w:t>
            </w:r>
          </w:p>
        </w:tc>
        <w:tc>
          <w:tcPr>
            <w:tcW w:w="1232" w:type="dxa"/>
            <w:tcBorders>
              <w:top w:val="nil"/>
              <w:left w:val="single" w:sz="4" w:space="0" w:color="auto"/>
              <w:bottom w:val="single" w:sz="4" w:space="0" w:color="auto"/>
              <w:right w:val="single" w:sz="4" w:space="0" w:color="auto"/>
            </w:tcBorders>
            <w:vAlign w:val="center"/>
          </w:tcPr>
          <w:p w:rsidR="00914075" w:rsidRPr="005E1A27" w:rsidRDefault="00914075" w:rsidP="000525B1">
            <w:pPr>
              <w:jc w:val="center"/>
              <w:rPr>
                <w:rFonts w:ascii="Calibri" w:hAnsi="Calibri"/>
                <w:color w:val="000000"/>
              </w:rPr>
            </w:pPr>
            <w:r>
              <w:rPr>
                <w:rFonts w:ascii="Calibri" w:hAnsi="Calibri"/>
                <w:color w:val="000000"/>
              </w:rPr>
              <w:t>6</w:t>
            </w:r>
            <w:r w:rsidR="00F57125">
              <w:rPr>
                <w:rFonts w:ascii="Calibri" w:hAnsi="Calibri"/>
                <w:color w:val="000000"/>
              </w:rPr>
              <w:t>/6</w:t>
            </w:r>
          </w:p>
        </w:tc>
        <w:tc>
          <w:tcPr>
            <w:tcW w:w="1077" w:type="dxa"/>
            <w:tcBorders>
              <w:top w:val="nil"/>
              <w:left w:val="single" w:sz="4" w:space="0" w:color="auto"/>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2</w:t>
            </w: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lastRenderedPageBreak/>
              <w:t>Česko - naše destinace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CZ.1.06/4.1.00/12.09503</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ČESKÁ CENTRÁLA CESTOVNÍHO RUCHU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7 857 143,00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sidRPr="00E22291">
              <w:rPr>
                <w:rFonts w:ascii="Calibri" w:hAnsi="Calibri"/>
                <w:color w:val="000000"/>
              </w:rPr>
              <w:t>Projekt je v souladu s aktualizovaným harmonogramem, dosud neukončené NADL VŘ  ve stádiu hodnocení přijatých nabídek (v případě odvolání uchazečů nicméně není časový prostor pro jeho opakování) s vazbou na naplňování cíle projektu a MI.</w:t>
            </w:r>
          </w:p>
        </w:tc>
        <w:tc>
          <w:tcPr>
            <w:tcW w:w="1381" w:type="dxa"/>
            <w:tcBorders>
              <w:top w:val="nil"/>
              <w:left w:val="nil"/>
              <w:bottom w:val="single" w:sz="4" w:space="0" w:color="auto"/>
              <w:right w:val="single" w:sz="4" w:space="0" w:color="auto"/>
            </w:tcBorders>
            <w:vAlign w:val="center"/>
          </w:tcPr>
          <w:p w:rsidR="00914075" w:rsidRPr="00E22291" w:rsidRDefault="00914075" w:rsidP="001006D1">
            <w:pPr>
              <w:jc w:val="center"/>
              <w:rPr>
                <w:rFonts w:ascii="Calibri" w:hAnsi="Calibri"/>
                <w:color w:val="000000"/>
              </w:rPr>
            </w:pPr>
            <w:r w:rsidRPr="00AD1198">
              <w:rPr>
                <w:rFonts w:ascii="Calibri" w:hAnsi="Calibri"/>
                <w:sz w:val="48"/>
                <w:szCs w:val="18"/>
              </w:rPr>
              <w:t>=</w:t>
            </w:r>
          </w:p>
        </w:tc>
        <w:tc>
          <w:tcPr>
            <w:tcW w:w="1232" w:type="dxa"/>
            <w:tcBorders>
              <w:top w:val="nil"/>
              <w:left w:val="nil"/>
              <w:bottom w:val="single" w:sz="4" w:space="0" w:color="auto"/>
              <w:right w:val="single" w:sz="4" w:space="0" w:color="auto"/>
            </w:tcBorders>
            <w:vAlign w:val="center"/>
          </w:tcPr>
          <w:p w:rsidR="00914075" w:rsidRPr="00E22291" w:rsidRDefault="0003569A" w:rsidP="000525B1">
            <w:pPr>
              <w:jc w:val="center"/>
              <w:rPr>
                <w:rFonts w:ascii="Calibri" w:hAnsi="Calibri"/>
                <w:color w:val="000000"/>
              </w:rPr>
            </w:pPr>
            <w:r>
              <w:rPr>
                <w:rFonts w:ascii="Calibri" w:hAnsi="Calibri"/>
                <w:color w:val="000000"/>
              </w:rPr>
              <w:t>6</w:t>
            </w:r>
            <w:r w:rsidR="000525B1">
              <w:rPr>
                <w:rFonts w:ascii="Calibri" w:hAnsi="Calibri"/>
                <w:color w:val="000000"/>
              </w:rPr>
              <w:t>/</w:t>
            </w:r>
            <w:r w:rsidR="00F57125">
              <w:rPr>
                <w:rFonts w:ascii="Calibri" w:hAnsi="Calibri"/>
                <w:color w:val="000000"/>
              </w:rPr>
              <w:t>6</w:t>
            </w:r>
          </w:p>
        </w:tc>
        <w:tc>
          <w:tcPr>
            <w:tcW w:w="1077" w:type="dxa"/>
            <w:tcBorders>
              <w:top w:val="nil"/>
              <w:left w:val="nil"/>
              <w:bottom w:val="single" w:sz="4" w:space="0" w:color="auto"/>
              <w:right w:val="single" w:sz="4" w:space="0" w:color="auto"/>
            </w:tcBorders>
            <w:vAlign w:val="center"/>
          </w:tcPr>
          <w:p w:rsidR="00914075" w:rsidRPr="00E22291" w:rsidRDefault="000525B1" w:rsidP="000525B1">
            <w:pPr>
              <w:jc w:val="center"/>
              <w:rPr>
                <w:rFonts w:ascii="Calibri" w:hAnsi="Calibri"/>
                <w:color w:val="000000"/>
              </w:rPr>
            </w:pPr>
            <w:r>
              <w:rPr>
                <w:rFonts w:ascii="Calibri" w:hAnsi="Calibri"/>
                <w:color w:val="000000"/>
              </w:rPr>
              <w:t>2</w:t>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Dačického dům v Kutné Hoře. Vzdělávací a prezentační centrum kulturního dědictví UNESCO.</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CZ.1.06/5.1.00/24.09628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Město Kutná Hora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82 822 000,00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Riziko nedokončení stavebních prací v termínu - harmonogram projektu nemá rezervu pro případné problémy.</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vAlign w:val="center"/>
          </w:tcPr>
          <w:p w:rsidR="00914075" w:rsidRDefault="0003569A" w:rsidP="000525B1">
            <w:pPr>
              <w:jc w:val="center"/>
              <w:rPr>
                <w:rFonts w:ascii="Calibri" w:hAnsi="Calibri"/>
                <w:color w:val="000000"/>
              </w:rPr>
            </w:pPr>
            <w:r>
              <w:rPr>
                <w:rFonts w:ascii="Calibri" w:hAnsi="Calibri"/>
                <w:color w:val="000000"/>
              </w:rPr>
              <w:t>-</w:t>
            </w:r>
            <w:r w:rsidR="00F57125">
              <w:rPr>
                <w:rFonts w:ascii="Calibri" w:hAnsi="Calibri"/>
                <w:color w:val="000000"/>
              </w:rPr>
              <w:t>/</w:t>
            </w:r>
            <w:r w:rsidR="00914075">
              <w:rPr>
                <w:rFonts w:ascii="Calibri" w:hAnsi="Calibri"/>
                <w:color w:val="000000"/>
              </w:rPr>
              <w:t>3,6</w:t>
            </w:r>
          </w:p>
        </w:tc>
        <w:tc>
          <w:tcPr>
            <w:tcW w:w="1077" w:type="dxa"/>
            <w:tcBorders>
              <w:top w:val="nil"/>
              <w:left w:val="nil"/>
              <w:bottom w:val="single" w:sz="4" w:space="0" w:color="auto"/>
              <w:right w:val="single" w:sz="4" w:space="0" w:color="auto"/>
            </w:tcBorders>
            <w:vAlign w:val="center"/>
          </w:tcPr>
          <w:p w:rsidR="00914075" w:rsidRDefault="00914075" w:rsidP="000525B1">
            <w:pPr>
              <w:jc w:val="center"/>
              <w:rPr>
                <w:rFonts w:ascii="Calibri" w:hAnsi="Calibri"/>
                <w:color w:val="000000"/>
              </w:rPr>
            </w:pPr>
          </w:p>
        </w:tc>
      </w:tr>
      <w:tr w:rsidR="00914075" w:rsidTr="00847E32">
        <w:trPr>
          <w:trHeight w:val="229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Digitální úřad nové generace města Valašské Klobouky</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CZ.1.06/2.1.00/22.09444</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Valašské Klobouky</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2 202 923,00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nutnost 2x opakovat podlim ZŘ (zadavatel neobdržel žádnou nabídku) na dodávku a implementaci komponent ICT, ZD schválena 8. 6. 2015, předpokl. Ukončení VŘ 24. 7. 2015, ostatní VŘ ukončena a schválena; z důvodu opak. VŘ prodloužena realizace projektu o 3 m</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0207F1"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Digitální úřad pro eGovernment města Třešť</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CZ.1.06/2.1.00/22.09462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Třešť</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1 824 622,00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nutnost opakovat část podlimitního ZŘ na digitalizaci úřadu, opakováním VŘ dochází ke zpoždění o cca 2 měsíce; je možný posun ukončení projektu o 1 m</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207F1"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Digitální úřad pro nové tisíciletí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CZ.1.06/2.1.00/22.09360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Pohořelice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4 300 759,00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dodávku komponent ICT, před podpisem SoD schváleno 7. 7. 2015, zpoždění o cca 1 měsíc</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207F1" w:rsidP="000525B1">
            <w:pPr>
              <w:jc w:val="center"/>
              <w:rPr>
                <w:rFonts w:ascii="Calibri" w:hAnsi="Calibri"/>
                <w:color w:val="000000"/>
              </w:rPr>
            </w:pPr>
            <w:r>
              <w:rPr>
                <w:rFonts w:ascii="Calibri" w:hAnsi="Calibri"/>
                <w:color w:val="000000"/>
              </w:rPr>
              <w:t>-/-</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Dobudování komunikační infrastruktury, SW na zpřístupnění archiválií a propojení s exist. systémy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CZ.1.06/1.1.00/17.09391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Moravský zemský archiv v Brně</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18 087 080,00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VŘ 001 a 004 nebyly zaslané příjemcem na kontrolu, OSF urgovalo příjemce, v průběhu srpna 2015 by měla být dokumentace schválena.</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AD1198">
              <w:rPr>
                <w:rFonts w:ascii="Calibri" w:hAnsi="Calibri"/>
                <w:sz w:val="48"/>
                <w:szCs w:val="18"/>
              </w:rPr>
              <w:t>=</w:t>
            </w:r>
          </w:p>
        </w:tc>
        <w:tc>
          <w:tcPr>
            <w:tcW w:w="1232" w:type="dxa"/>
            <w:tcBorders>
              <w:top w:val="nil"/>
              <w:left w:val="nil"/>
              <w:bottom w:val="single" w:sz="4" w:space="0" w:color="auto"/>
              <w:right w:val="single" w:sz="4" w:space="0" w:color="auto"/>
            </w:tcBorders>
            <w:vAlign w:val="center"/>
          </w:tcPr>
          <w:p w:rsidR="00914075" w:rsidRDefault="0003569A" w:rsidP="000525B1">
            <w:pPr>
              <w:jc w:val="center"/>
              <w:rPr>
                <w:rFonts w:ascii="Calibri" w:hAnsi="Calibri"/>
                <w:sz w:val="18"/>
                <w:szCs w:val="18"/>
              </w:rPr>
            </w:pPr>
            <w:r>
              <w:rPr>
                <w:rFonts w:ascii="Calibri" w:hAnsi="Calibri"/>
                <w:sz w:val="18"/>
                <w:szCs w:val="18"/>
              </w:rPr>
              <w:t>6</w:t>
            </w:r>
            <w:r w:rsidR="00BC3BA9">
              <w:rPr>
                <w:rFonts w:ascii="Calibri" w:hAnsi="Calibri"/>
                <w:sz w:val="18"/>
                <w:szCs w:val="18"/>
              </w:rPr>
              <w:t>,8</w:t>
            </w:r>
            <w:r w:rsidR="000525B1">
              <w:rPr>
                <w:rFonts w:ascii="Calibri" w:hAnsi="Calibri"/>
                <w:sz w:val="18"/>
                <w:szCs w:val="18"/>
              </w:rPr>
              <w:t>/</w:t>
            </w:r>
            <w:r w:rsidR="00914075">
              <w:rPr>
                <w:rFonts w:ascii="Calibri" w:hAnsi="Calibri"/>
                <w:sz w:val="18"/>
                <w:szCs w:val="18"/>
              </w:rPr>
              <w:t>3,</w:t>
            </w:r>
            <w:r w:rsidR="00FF71DF">
              <w:rPr>
                <w:rFonts w:ascii="Calibri" w:hAnsi="Calibri"/>
                <w:sz w:val="18"/>
                <w:szCs w:val="18"/>
              </w:rPr>
              <w:t>6,</w:t>
            </w:r>
            <w:r w:rsidR="00914075">
              <w:rPr>
                <w:rFonts w:ascii="Calibri" w:hAnsi="Calibri"/>
                <w:sz w:val="18"/>
                <w:szCs w:val="18"/>
              </w:rPr>
              <w:t>8</w:t>
            </w:r>
          </w:p>
        </w:tc>
        <w:tc>
          <w:tcPr>
            <w:tcW w:w="1077" w:type="dxa"/>
            <w:tcBorders>
              <w:top w:val="nil"/>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847E32">
        <w:trPr>
          <w:trHeight w:val="204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Efektivní centrální místo služeb ICT</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CZ.1.06/2.1.00/22.09443</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Náměšť nad Oslavou</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31.8.2015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2 538 000,00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ICT (opakovaná část ZŘ, ke které zadavatel obdržel pouze 1 nabídku, předpokl. hodnota 257 000 Kč) - dokumentace VŘ před podpisem SoD vrácena, zpoždění oproti harmonogramu o cca 3m</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922566" w:rsidP="000525B1">
            <w:pPr>
              <w:jc w:val="center"/>
              <w:rPr>
                <w:rFonts w:ascii="Calibri" w:hAnsi="Calibri"/>
                <w:color w:val="000000"/>
              </w:rPr>
            </w:pPr>
            <w:r>
              <w:rPr>
                <w:rFonts w:ascii="Calibri" w:hAnsi="Calibri"/>
                <w:color w:val="000000"/>
              </w:rPr>
              <w:t>-/-</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eHealth - elektronizace zdravotnictví Pardubického kraje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CZ.1.06/2.1.00/19.09278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Pardubický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10 149 023,00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zatím není dokončeno nadlimitní ZŘ na eHealth - dokumentace před podpisem SoD schválena 2. 6. 2015; ostatní VŘ (kromě publicity) dokončena a schválena</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sidRPr="00AD1198">
              <w:rPr>
                <w:rFonts w:ascii="Calibri" w:hAnsi="Calibri"/>
                <w:sz w:val="48"/>
                <w:szCs w:val="18"/>
              </w:rPr>
              <w:t>=</w:t>
            </w:r>
          </w:p>
        </w:tc>
        <w:tc>
          <w:tcPr>
            <w:tcW w:w="1232" w:type="dxa"/>
            <w:tcBorders>
              <w:top w:val="nil"/>
              <w:left w:val="nil"/>
              <w:bottom w:val="single" w:sz="4" w:space="0" w:color="auto"/>
              <w:right w:val="single" w:sz="4" w:space="0" w:color="auto"/>
            </w:tcBorders>
            <w:shd w:val="clear" w:color="000000" w:fill="FFFFFF"/>
            <w:vAlign w:val="center"/>
          </w:tcPr>
          <w:p w:rsidR="00914075" w:rsidRDefault="0003569A" w:rsidP="000525B1">
            <w:pPr>
              <w:jc w:val="center"/>
              <w:rPr>
                <w:rFonts w:ascii="Calibri" w:hAnsi="Calibri"/>
                <w:color w:val="000000"/>
              </w:rPr>
            </w:pPr>
            <w:r>
              <w:rPr>
                <w:rFonts w:ascii="Calibri" w:hAnsi="Calibri"/>
                <w:color w:val="000000"/>
              </w:rPr>
              <w:t>6</w:t>
            </w:r>
            <w:r w:rsidR="00BC3BA9">
              <w:rPr>
                <w:rFonts w:ascii="Calibri" w:hAnsi="Calibri"/>
                <w:color w:val="000000"/>
              </w:rPr>
              <w:t>,7</w:t>
            </w:r>
            <w:r w:rsidR="000525B1">
              <w:rPr>
                <w:rFonts w:ascii="Calibri" w:hAnsi="Calibri"/>
                <w:color w:val="000000"/>
              </w:rPr>
              <w:t>/</w:t>
            </w:r>
            <w:r w:rsidR="00914075">
              <w:rPr>
                <w:rFonts w:ascii="Calibri" w:hAnsi="Calibri"/>
                <w:color w:val="000000"/>
              </w:rPr>
              <w:t>2,</w:t>
            </w:r>
            <w:r w:rsidR="00FF71DF">
              <w:rPr>
                <w:rFonts w:ascii="Calibri" w:hAnsi="Calibri"/>
                <w:color w:val="000000"/>
              </w:rPr>
              <w:t>6,</w:t>
            </w:r>
            <w:r w:rsidR="00914075">
              <w:rPr>
                <w:rFonts w:ascii="Calibri" w:hAnsi="Calibri"/>
                <w:color w:val="000000"/>
              </w:rPr>
              <w:t>7</w:t>
            </w:r>
          </w:p>
        </w:tc>
        <w:tc>
          <w:tcPr>
            <w:tcW w:w="1077" w:type="dxa"/>
            <w:tcBorders>
              <w:top w:val="nil"/>
              <w:left w:val="nil"/>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2</w:t>
            </w: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Elektronizace městského úřadu Hustopeče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CZ.1.06/2.1.00/22.09337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Hustopeče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31.8.2015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4 968 080,00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není dokončeno nadlim ZŘ na dodávku ICT - dokumentace před podpisem SoD schváleno 1. 6. 2015; dochází ke zpožděí ve vyhlášení podlim ZŘ na dodávku SW komponent, dosud nepředložena ZD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22566" w:rsidP="000525B1">
            <w:pPr>
              <w:jc w:val="center"/>
              <w:rPr>
                <w:rFonts w:ascii="Calibri" w:hAnsi="Calibri"/>
                <w:color w:val="000000"/>
              </w:rPr>
            </w:pPr>
            <w:r>
              <w:rPr>
                <w:rFonts w:ascii="Calibri" w:hAnsi="Calibri"/>
                <w:color w:val="000000"/>
              </w:rPr>
              <w:t>-/-</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153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Elektronizace MěÚ Týn nad Vltavou</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CZ.1.06/2.1.00/22.09563</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Týn nad Vltavou</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4 877 895,00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dodávky SW a HW - zpoždění o cca 3 m ve vyhlášení ZŘ oproti plánovanému harmonogramu; nezahájeno VŘ (VZMR 2. kat) na dodavatele stavebních prací</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922566"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Elektronizace procesů, digitalizace dat a konsolidace IT infrastruktury TC Moravská Třebová</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CZ.1.06/2.1.00/22.09618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Moravská Třebová</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4 011 150,00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podlim ZŘ - prozatím vše dle harmonogramu, k elektronizaci správních řízení nebyla dosud předložena ZD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22566"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Elektronizace služeb statutárního města Děčín</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CZ.1.06/2.1.00/09.07348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DĚČÍN</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31.8.2015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20 109 385,00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neukončena kontrola nadlimitní ZŘ na dodávku techniky pro digitalizaci (22. 6. 2015 schválena dokumentace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pPr>
            <w:r w:rsidRPr="005378BE">
              <w:rPr>
                <w:rFonts w:ascii="Calibri" w:hAnsi="Calibri"/>
                <w:sz w:val="48"/>
                <w:szCs w:val="18"/>
              </w:rPr>
              <w:t>=</w:t>
            </w:r>
          </w:p>
        </w:tc>
        <w:tc>
          <w:tcPr>
            <w:tcW w:w="1232" w:type="dxa"/>
            <w:tcBorders>
              <w:top w:val="nil"/>
              <w:left w:val="nil"/>
              <w:bottom w:val="single" w:sz="4" w:space="0" w:color="auto"/>
              <w:right w:val="single" w:sz="4" w:space="0" w:color="auto"/>
            </w:tcBorders>
            <w:shd w:val="clear" w:color="000000" w:fill="FFFFFF"/>
            <w:vAlign w:val="center"/>
          </w:tcPr>
          <w:p w:rsidR="00914075" w:rsidRDefault="00BC3BA9" w:rsidP="000525B1">
            <w:pPr>
              <w:jc w:val="center"/>
              <w:rPr>
                <w:rFonts w:ascii="Calibri" w:hAnsi="Calibri"/>
                <w:color w:val="000000"/>
              </w:rPr>
            </w:pPr>
            <w:r>
              <w:rPr>
                <w:rFonts w:ascii="Calibri" w:hAnsi="Calibri"/>
                <w:color w:val="000000"/>
              </w:rPr>
              <w:t>2,</w:t>
            </w:r>
            <w:r w:rsidR="0003569A">
              <w:rPr>
                <w:rFonts w:ascii="Calibri" w:hAnsi="Calibri"/>
                <w:color w:val="000000"/>
              </w:rPr>
              <w:t>6</w:t>
            </w:r>
            <w:r>
              <w:rPr>
                <w:rFonts w:ascii="Calibri" w:hAnsi="Calibri"/>
                <w:color w:val="000000"/>
              </w:rPr>
              <w:t>,7</w:t>
            </w:r>
            <w:r w:rsidR="000525B1">
              <w:rPr>
                <w:rFonts w:ascii="Calibri" w:hAnsi="Calibri"/>
                <w:color w:val="000000"/>
              </w:rPr>
              <w:t>/</w:t>
            </w:r>
            <w:r w:rsidR="00914075">
              <w:rPr>
                <w:rFonts w:ascii="Calibri" w:hAnsi="Calibri"/>
                <w:color w:val="000000"/>
              </w:rPr>
              <w:t>2,</w:t>
            </w:r>
            <w:r w:rsidR="00FF71DF">
              <w:rPr>
                <w:rFonts w:ascii="Calibri" w:hAnsi="Calibri"/>
                <w:color w:val="000000"/>
              </w:rPr>
              <w:t>6,</w:t>
            </w:r>
            <w:r w:rsidR="00914075">
              <w:rPr>
                <w:rFonts w:ascii="Calibri" w:hAnsi="Calibri"/>
                <w:color w:val="000000"/>
              </w:rPr>
              <w:t>7</w:t>
            </w:r>
          </w:p>
        </w:tc>
        <w:tc>
          <w:tcPr>
            <w:tcW w:w="1077" w:type="dxa"/>
            <w:tcBorders>
              <w:top w:val="nil"/>
              <w:left w:val="nil"/>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2</w:t>
            </w: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Evidenční systém a publikační portál muzejních sbírek Pardubického kraje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CZ.1.06/2.1.00/19.09281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Pardubický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10 200 000,00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zatím není dokončeno nadlimitní ZŘ na Evidenční systém a publikační portál - dokumentace před podpisem SoD schválena 15. 6.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pPr>
            <w:r w:rsidRPr="005378BE">
              <w:rPr>
                <w:rFonts w:ascii="Calibri" w:hAnsi="Calibri"/>
                <w:sz w:val="48"/>
                <w:szCs w:val="18"/>
              </w:rPr>
              <w:t>=</w:t>
            </w:r>
          </w:p>
        </w:tc>
        <w:tc>
          <w:tcPr>
            <w:tcW w:w="1232" w:type="dxa"/>
            <w:tcBorders>
              <w:top w:val="nil"/>
              <w:left w:val="nil"/>
              <w:bottom w:val="single" w:sz="4" w:space="0" w:color="auto"/>
              <w:right w:val="single" w:sz="4" w:space="0" w:color="auto"/>
            </w:tcBorders>
            <w:shd w:val="clear" w:color="000000" w:fill="FFFFFF"/>
            <w:vAlign w:val="center"/>
          </w:tcPr>
          <w:p w:rsidR="00914075" w:rsidRDefault="0003569A" w:rsidP="000525B1">
            <w:pPr>
              <w:jc w:val="center"/>
              <w:rPr>
                <w:rFonts w:ascii="Calibri" w:hAnsi="Calibri"/>
                <w:color w:val="000000"/>
              </w:rPr>
            </w:pPr>
            <w:r>
              <w:rPr>
                <w:rFonts w:ascii="Calibri" w:hAnsi="Calibri"/>
                <w:color w:val="000000"/>
              </w:rPr>
              <w:t>6</w:t>
            </w:r>
            <w:r w:rsidR="000525B1">
              <w:rPr>
                <w:rFonts w:ascii="Calibri" w:hAnsi="Calibri"/>
                <w:color w:val="000000"/>
              </w:rPr>
              <w:t>/</w:t>
            </w:r>
            <w:r w:rsidR="00914075">
              <w:rPr>
                <w:rFonts w:ascii="Calibri" w:hAnsi="Calibri"/>
                <w:color w:val="000000"/>
              </w:rPr>
              <w:t>2</w:t>
            </w:r>
            <w:r w:rsidR="00FF71DF">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2</w:t>
            </w:r>
          </w:p>
        </w:tc>
      </w:tr>
      <w:tr w:rsidR="00914075" w:rsidTr="00847E32">
        <w:trPr>
          <w:trHeight w:val="264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Implementace odborného informačního systému SVS</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CZ.1.06/1.1.00/17.09393</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Státní veterinární správa</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28 895 650,00</w:t>
            </w:r>
          </w:p>
        </w:tc>
        <w:tc>
          <w:tcPr>
            <w:tcW w:w="17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jednoetapový projekt</w:t>
            </w:r>
            <w:r>
              <w:rPr>
                <w:rFonts w:ascii="Calibri" w:hAnsi="Calibri"/>
                <w:sz w:val="18"/>
                <w:szCs w:val="18"/>
              </w:rPr>
              <w:br/>
              <w:t>* obě VŘ v projektu již ukončena</w:t>
            </w:r>
            <w:r>
              <w:rPr>
                <w:rFonts w:ascii="Calibri" w:hAnsi="Calibri"/>
                <w:sz w:val="18"/>
                <w:szCs w:val="18"/>
              </w:rPr>
              <w:br/>
              <w:t xml:space="preserve">* vybrán vítězný uchazeč v klíčovém VŘ 001 a podepsána smlouva </w:t>
            </w:r>
            <w:r>
              <w:rPr>
                <w:rFonts w:ascii="Calibri" w:hAnsi="Calibri"/>
                <w:sz w:val="18"/>
                <w:szCs w:val="18"/>
              </w:rPr>
              <w:br/>
              <w:t>* již předána související analýza z projektu OP LZZ</w:t>
            </w:r>
            <w:r>
              <w:rPr>
                <w:rFonts w:ascii="Calibri" w:hAnsi="Calibri"/>
                <w:sz w:val="18"/>
                <w:szCs w:val="18"/>
              </w:rPr>
              <w:br/>
              <w:t xml:space="preserve">* příjemce zvažuje možnost využití úspory na dvě nová VŘ - souvisí s požadavky Zákona o kybernetické bezpečnosti  </w:t>
            </w:r>
          </w:p>
        </w:tc>
        <w:tc>
          <w:tcPr>
            <w:tcW w:w="1381" w:type="dxa"/>
            <w:tcBorders>
              <w:top w:val="single" w:sz="4" w:space="0" w:color="auto"/>
              <w:left w:val="nil"/>
              <w:bottom w:val="single" w:sz="4" w:space="0" w:color="auto"/>
              <w:right w:val="single" w:sz="4" w:space="0" w:color="auto"/>
            </w:tcBorders>
            <w:vAlign w:val="center"/>
          </w:tcPr>
          <w:p w:rsidR="00914075" w:rsidRDefault="00914075" w:rsidP="001006D1">
            <w:pPr>
              <w:jc w:val="center"/>
            </w:pPr>
            <w:r w:rsidRPr="005378BE">
              <w:rPr>
                <w:rFonts w:ascii="Calibri" w:hAnsi="Calibri"/>
                <w:sz w:val="48"/>
                <w:szCs w:val="18"/>
              </w:rPr>
              <w:t>=</w:t>
            </w:r>
          </w:p>
        </w:tc>
        <w:tc>
          <w:tcPr>
            <w:tcW w:w="1232" w:type="dxa"/>
            <w:tcBorders>
              <w:top w:val="single" w:sz="4" w:space="0" w:color="auto"/>
              <w:left w:val="nil"/>
              <w:bottom w:val="single" w:sz="4" w:space="0" w:color="auto"/>
              <w:right w:val="single" w:sz="4" w:space="0" w:color="auto"/>
            </w:tcBorders>
            <w:vAlign w:val="center"/>
          </w:tcPr>
          <w:p w:rsidR="00914075" w:rsidRDefault="0003569A" w:rsidP="000525B1">
            <w:pPr>
              <w:jc w:val="center"/>
              <w:rPr>
                <w:rFonts w:ascii="Calibri" w:hAnsi="Calibri"/>
                <w:sz w:val="18"/>
                <w:szCs w:val="18"/>
              </w:rPr>
            </w:pPr>
            <w:r>
              <w:rPr>
                <w:rFonts w:ascii="Calibri" w:hAnsi="Calibri"/>
                <w:sz w:val="18"/>
                <w:szCs w:val="18"/>
              </w:rPr>
              <w:t>6</w:t>
            </w:r>
            <w:r w:rsidR="000A3B7C">
              <w:rPr>
                <w:rFonts w:ascii="Calibri" w:hAnsi="Calibri"/>
                <w:sz w:val="18"/>
                <w:szCs w:val="18"/>
              </w:rPr>
              <w:t>/6</w:t>
            </w:r>
          </w:p>
        </w:tc>
        <w:tc>
          <w:tcPr>
            <w:tcW w:w="1077" w:type="dxa"/>
            <w:tcBorders>
              <w:top w:val="single" w:sz="4" w:space="0" w:color="auto"/>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ICT a elektronizace procesů - Rousínov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CZ.1.06/2.1.00/22.09512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Rousínov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2 406 265,00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ZD schválena 9. 7.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525B1" w:rsidP="000525B1">
            <w:pPr>
              <w:jc w:val="center"/>
              <w:rPr>
                <w:rFonts w:ascii="Calibri" w:hAnsi="Calibri"/>
                <w:color w:val="000000"/>
              </w:rPr>
            </w:pPr>
            <w:r>
              <w:rPr>
                <w:rFonts w:ascii="Calibri" w:hAnsi="Calibri"/>
                <w:color w:val="000000"/>
              </w:rPr>
              <w:t>-/</w:t>
            </w:r>
            <w:r w:rsidR="00FF71DF">
              <w:rPr>
                <w:rFonts w:ascii="Calibri" w:hAnsi="Calibri"/>
                <w:color w:val="000000"/>
              </w:rPr>
              <w:t>6,</w:t>
            </w:r>
            <w:r w:rsidR="00914075">
              <w:rPr>
                <w:rFonts w:ascii="Calibri" w:hAnsi="Calibri"/>
                <w:color w:val="000000"/>
              </w:rPr>
              <w:t>8</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ICT a elektronizace procesů Města Kravaře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CZ.1.06/2.1.00/22.09478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Kravaře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3 266 300,00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nadlimitní ZŘ na HW a SW - dokumentace před podpisem SoD schválena 10. 6.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infrastruktury IT ORP Trutnov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CZ.1.06/2.1.00/22.09520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TRUTNOV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3 423 443,00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 - schválena dokumentace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51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elektronické služby MěÚ Vyškov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CZ.1.06/2.1.00/22.09448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Vyškov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5 097 450,00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neukončeno opakované nadlimitní ZŘ na konsolidaci IT </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města Šternberk</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CZ.1.06/2.1.00/22.09585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Šternberk</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3 374 500,00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konsolidaci IT - předpokl. datum ukončení 30.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76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IT a nové služby TC Nová Paka</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CZ.1.06/2.1.00/22.09497</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Nová Paka</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2 347 530,00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 předpoklad ukončení 31. 7. 2015</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obcí - ORP Rokycany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CZ.1.06/2.1.00/22.09425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Rokycany</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4 442 907,00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konsolidaci IT, dokumentace před podpisem SoD schválena 3. 7. 2015; předpoklad dokončení 08/2015 + zajištění publicity</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A3B7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Boskovice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CZ.1.06/2.1.00/22.09551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Boskovice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5 096 600,00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2 podlim ZŘ - dokumentace schválena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Kaplice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CZ.1.06/2.1.00/22.09491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Kaplice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3 546 540,00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podlim ZŘ konsolidace IT (VŘ zahájeno) a podlim ZŘ na HW a bezpečností infrastrukturu (dokumentace schválena před podpisem SoD),předpoklad dokončení 31.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Kraslice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CZ.1.06/2.1.00/22.09524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Kraslice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1 727 856,00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zbývá dokončit VZMR 2. kat - dokumentace schválena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51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Kroměříž</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CZ.1.06/2.1.00/22.09604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Kroměříž</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4 033 250,00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127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IT a nové služby TC ORP Sokolov</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CZ.1.06/2.1.00/22.09517</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Sokolov</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5 069 690,00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konsolidaci IT - schválena dokumentace před podpisem SoD, ostatní VŘ dokončena a schválena</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204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Svitavy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CZ.1.06/2.1.00/22.09488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Svitavy</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5 020 355,00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konsolidaci IT - probíhá kontrola dokumentace před podpisem SoD (vráceno zadavateli), 23. 6. 2015 schválena ZD na nadlim ZŘ pro zajištění dodávky SW a implementace, předpoklad ukončení 09/2015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525B1" w:rsidP="000525B1">
            <w:pPr>
              <w:jc w:val="center"/>
              <w:rPr>
                <w:rFonts w:ascii="Calibri" w:hAnsi="Calibri"/>
                <w:color w:val="000000"/>
              </w:rPr>
            </w:pPr>
            <w:r>
              <w:rPr>
                <w:rFonts w:ascii="Calibri" w:hAnsi="Calibri"/>
                <w:color w:val="000000"/>
              </w:rPr>
              <w:t>-/</w:t>
            </w:r>
            <w:r w:rsidR="00914075">
              <w:rPr>
                <w:rFonts w:ascii="Calibri" w:hAnsi="Calibri"/>
                <w:color w:val="000000"/>
              </w:rPr>
              <w:t>3</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Zábřeh</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CZ.1.06/2.1.00/22.09574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Zábřeh</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4 574 700,00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podlim ZŘ na konsolidaci IT - probíhá kontrola dokumentace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D05904"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Starý Plzenec</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CZ.1.06/2.1.00/22.09590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Starý Plzenec</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2 919 571,00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konsolidaci IT - dokumentace před podpisem SoD schválena 19.5.2015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7F081D"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51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Ústí nad Orlicí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CZ.1.06/2.1.00/22.09552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Ústí nad Orlicí</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4 722 611,00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2 podlim ZŘ - předpoklad ukončení 31. 7.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7F081D"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76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IT a rozšíření elektronických služeb města Třebechovice pod Orebem</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CZ.1.06/2.1.00/22.09515</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Třebechovice pod Orebem</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1 792 001,00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podlim ZŘ na konsolidaci IT - ZŘ vyhlášeno</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7F081D"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ZAVEDENÍ NOVÝCH SLUŽEB TC V ÚZEMÍ ORP VELKÉ MEZIŘÍČÍ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CZ.1.06/2.1.00/22.09479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Velké Meziříčí</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4 930 000,00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nadlimitní ZŘ na konsolidaci IT - dokumentace před podpisem SoD schválena 7. 7. 2015, zpoždění VŘ oproti harmonogramu</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51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Čelákovice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CZ.1.06/2.1.00/22.09429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Čelákovice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2 347 838,00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dosud nebyla ukončena všechna VŘ (003 - HW a 004 - SW), předpoklad dokončení je v září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nové služby Města Vimperk</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CZ.1.06/2.1.00/22.09482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Vimperk</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3 176 829,00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podlim ZŘ na konsolidaci IT - předpoklad dokončení 31.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nové služby města Žamberk</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CZ.1.06/2.1.00/22.09550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Žamberk</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1 997 097,00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 - předpoklad ukončení 31. 7.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nové služby TC ORP Židlochovice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CZ.1.06/2.1.00/22.09494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Židlochovice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4 597 531,00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podlim ZŘ na konsolidaci IT - předpoklad dokončení 07/2015, část A (dodávka HW a SW) dosud nevyhlášena - probíhá konzultace a kontrola ZD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76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IT infrastruktury a nové služby Města Bojkovice</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CZ.1.06/2.1.00/22.09530</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Bojkovice</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30.10.2015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2 093 403,00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 dokumentace schválena před podpisem SoD</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rozvoj služeb TC městyse Lysice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CZ.1.06/2.1.00/22.09617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Městys Lysice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1 250 236,00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VŘ na dodávku a provozování IT (VZMR 2. kat), předpokl. datum ukončení VŘ 03/2015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rozvoj služeb TC ORP Český Krumlov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CZ.1.06/2.1.00/22.09442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Český Krumlov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3 688 919,00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 infrastruktury - nyní probíhá kontrola dokumentace před podpisem SoD, předpokládáné datum ukončení VŘ je v souladu s harmonogramem (08/2015)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infrastruktury a rozvoj služeb TC ORP Hodonín</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CZ.1.06/2.1.00/22.09602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Hodonín</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2 047 908,00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VZMR 2. kat, nemělo by dojít k ohrožení realizace</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5B1EE8"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města Bílina</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CZ.1.06/2.1.00/22.09362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Bílina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4 564 637,00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dodávku konsolidace IT - dokumentace VŘ před podpisem SoD doplněna po připomínkách 3. 7.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Města Rumburk</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CZ.1.06/2.1.00/22.09576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Rumburk</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1 974 720,00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nedokončeno podlimitní ZŘ na nákup HW a SW, ZD schválena s </w:t>
            </w:r>
            <w:r>
              <w:rPr>
                <w:rFonts w:ascii="Calibri" w:hAnsi="Calibri"/>
                <w:color w:val="000000"/>
              </w:rPr>
              <w:lastRenderedPageBreak/>
              <w:t>výhradou 29.5.2015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lastRenderedPageBreak/>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IT města Světlá nad Sázavou</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CZ.1.06/2.1.00/22.09496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Světlá nad Sázavou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2 400 954,00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dochází k posunu harmonogramu VŘ - nevyhlášeno VZMR 2. kat. na softwarové aplikace - ZD schválena 9. 7. 2015; u podlim ZŘ na konsolidaci IT - probíhá kontrola dokumentace po podpisu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MěÚ Pelhřimov a nové služby TC ORP Pelhřimov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CZ.1.06/2.1.00/22.09549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Pelhřimov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2 987 410,00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zbývá dokončit VZMR 2. kat na rozšíření TC, prozatím nepředložena ZD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Nový Bor</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CZ.1.06/2.1.00/22.09568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Nový Bor</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4 561 432,00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nedokončeno nadlimitní ZŘ na provedení konsolidace IT - probíhá kontrola dokumentace před podpisem SoD, vráceno zadavateli </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v Hranicích</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CZ.1.06/2.1.00/22.09465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Hranice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3 635 747,00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podlimitní ZŘ na konsolidaci IT - dokumentace před podpisem SoD schválena 30. 6.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zvýšení bezpečnosti a digitalizace dat archivů Města Třinec</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CZ.1.06/2.1.00/22.09466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Třinec</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5 100 000,00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vyhlášena 3 nadlimitní ZŘ na konsolidaci IT - </w:t>
            </w:r>
            <w:r>
              <w:rPr>
                <w:rFonts w:ascii="Calibri" w:hAnsi="Calibri"/>
                <w:color w:val="000000"/>
              </w:rPr>
              <w:lastRenderedPageBreak/>
              <w:t>kontrolována dokumentace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lastRenderedPageBreak/>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0525B1" w:rsidP="000525B1">
            <w:pPr>
              <w:jc w:val="center"/>
              <w:rPr>
                <w:rFonts w:ascii="Calibri" w:hAnsi="Calibri"/>
                <w:color w:val="000000"/>
              </w:rPr>
            </w:pPr>
            <w:r>
              <w:rPr>
                <w:rFonts w:ascii="Calibri" w:hAnsi="Calibri"/>
                <w:color w:val="000000"/>
              </w:rPr>
              <w:t>-/</w:t>
            </w:r>
            <w:r w:rsidR="00914075">
              <w:rPr>
                <w:rFonts w:ascii="Calibri" w:hAnsi="Calibri"/>
                <w:color w:val="000000"/>
              </w:rPr>
              <w:t>3</w:t>
            </w:r>
            <w:r w:rsidR="003C183C">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Konsolidace technologické a aplikační architektury technologického centra MÚ Hlinsko</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CZ.1.06/2.1.00/22.09511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Hlinsko</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5 097 705,00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nadlim ZŘ an konsolidaci IT - dokumentace před podpisem SoD schválena 22. 6.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3C183C"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Konsolidace IT a nové služby TC ORP Kuřim</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CZ.1.06/2.1.00/22.09555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Kuřim</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20.11.2015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3 256 231,00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 ZŘ na konsolidaci IT - zpoždění ve vyhlášení o cca 2 měsíce oproti plánovanému harmonogramu</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7410D7"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Krajské služby eGovernmentu ve zdravotnictví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CZ.1.06/2.1.00/19.09276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Liberecký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22 781 819,00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zatím není dokončeno opakované nadlim ZŘ na rozvoj eHealth a služeb TCK - dokumentace schválena před podpisem SoD, plánované ukončení 17. 7. 2015; ostatní VŘ (kromě publicity) dokončena a schválena</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sidRPr="00AD1198">
              <w:rPr>
                <w:rFonts w:ascii="Calibri" w:hAnsi="Calibri"/>
                <w:sz w:val="48"/>
                <w:szCs w:val="18"/>
              </w:rPr>
              <w:t>=</w:t>
            </w:r>
          </w:p>
        </w:tc>
        <w:tc>
          <w:tcPr>
            <w:tcW w:w="1232" w:type="dxa"/>
            <w:tcBorders>
              <w:top w:val="nil"/>
              <w:left w:val="nil"/>
              <w:bottom w:val="single" w:sz="4" w:space="0" w:color="auto"/>
              <w:right w:val="single" w:sz="4" w:space="0" w:color="auto"/>
            </w:tcBorders>
            <w:shd w:val="clear" w:color="000000" w:fill="FFFFFF"/>
            <w:vAlign w:val="center"/>
          </w:tcPr>
          <w:p w:rsidR="00914075" w:rsidRDefault="0003569A" w:rsidP="000525B1">
            <w:pPr>
              <w:jc w:val="center"/>
              <w:rPr>
                <w:rFonts w:ascii="Calibri" w:hAnsi="Calibri"/>
                <w:color w:val="000000"/>
              </w:rPr>
            </w:pPr>
            <w:r>
              <w:rPr>
                <w:rFonts w:ascii="Calibri" w:hAnsi="Calibri"/>
                <w:color w:val="000000"/>
              </w:rPr>
              <w:t>6</w:t>
            </w:r>
            <w:r w:rsidR="000525B1">
              <w:rPr>
                <w:rFonts w:ascii="Calibri" w:hAnsi="Calibri"/>
                <w:color w:val="000000"/>
              </w:rPr>
              <w:t>/</w:t>
            </w:r>
            <w:r w:rsidR="00914075">
              <w:rPr>
                <w:rFonts w:ascii="Calibri" w:hAnsi="Calibri"/>
                <w:color w:val="000000"/>
              </w:rPr>
              <w:t>2</w:t>
            </w:r>
            <w:r w:rsidR="00FF71DF">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2</w:t>
            </w:r>
          </w:p>
        </w:tc>
      </w:tr>
      <w:tr w:rsidR="00914075" w:rsidTr="00847E32">
        <w:trPr>
          <w:trHeight w:val="204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lastRenderedPageBreak/>
              <w:t>Mapy bez bariér</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CZ.1.06/4.1.00/25.09680</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Nadace Charty 77</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30.12.2015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20 975 698,00</w:t>
            </w:r>
          </w:p>
        </w:tc>
        <w:tc>
          <w:tcPr>
            <w:tcW w:w="17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Zpoždění v realizaci projektu (čekání na výsledek VSK, změna projektového manažera),dosud nerealizované VŘ (VZMR II.kat).  Harmonogram projektu nemá časovou rezervu pro případné problémy při výběru dodavatel, potažmo smluvního plnění.    </w:t>
            </w:r>
          </w:p>
        </w:tc>
        <w:tc>
          <w:tcPr>
            <w:tcW w:w="1381" w:type="dxa"/>
            <w:tcBorders>
              <w:top w:val="single" w:sz="4" w:space="0" w:color="auto"/>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w:t>
            </w:r>
            <w:r w:rsidR="00914075">
              <w:rPr>
                <w:rFonts w:ascii="Calibri" w:hAnsi="Calibri"/>
                <w:color w:val="000000"/>
              </w:rPr>
              <w:t>6</w:t>
            </w:r>
          </w:p>
        </w:tc>
        <w:tc>
          <w:tcPr>
            <w:tcW w:w="1077" w:type="dxa"/>
            <w:tcBorders>
              <w:top w:val="single" w:sz="4" w:space="0" w:color="auto"/>
              <w:left w:val="nil"/>
              <w:bottom w:val="single" w:sz="4" w:space="0" w:color="auto"/>
              <w:right w:val="single" w:sz="4" w:space="0" w:color="auto"/>
            </w:tcBorders>
            <w:vAlign w:val="center"/>
          </w:tcPr>
          <w:p w:rsidR="00914075" w:rsidRDefault="00914075" w:rsidP="000525B1">
            <w:pPr>
              <w:jc w:val="center"/>
              <w:rPr>
                <w:rFonts w:ascii="Calibri" w:hAnsi="Calibri"/>
                <w:color w:val="000000"/>
              </w:rPr>
            </w:pPr>
          </w:p>
        </w:tc>
      </w:tr>
      <w:tr w:rsidR="00914075" w:rsidTr="001006D1">
        <w:trPr>
          <w:trHeight w:val="204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Mapy bez bariér</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CZ.1.06/4.1.00/25.09679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Nadace Charty 77</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1 613 515,00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Zpoždění v realizaci projektu (čekání na výsledek VSK, změna projektového manažera),dosud nerealizované VŘ (VZMR II.kat).  Harmonogram projektu nemá časovou rezervu pro případné problémy při výběru dodavatel, potažmo smluvního plnění.    </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w:t>
            </w:r>
            <w:r w:rsidR="00914075">
              <w:rPr>
                <w:rFonts w:ascii="Calibri" w:hAnsi="Calibri"/>
                <w:color w:val="000000"/>
              </w:rPr>
              <w:t>6</w:t>
            </w:r>
          </w:p>
        </w:tc>
        <w:tc>
          <w:tcPr>
            <w:tcW w:w="1077" w:type="dxa"/>
            <w:tcBorders>
              <w:top w:val="nil"/>
              <w:left w:val="nil"/>
              <w:bottom w:val="single" w:sz="4" w:space="0" w:color="auto"/>
              <w:right w:val="single" w:sz="4" w:space="0" w:color="auto"/>
            </w:tcBorders>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Město Břeclav - služby uživatelům ICT</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CZ.1.06/2.1.00/22.09460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Břeclav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4 939 907,00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neukončeno podlimitní ZŘ na ICT, předpoklad ukončení VŘ dle harmonogramu 15.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Město Domažlice - Služby uživatelům</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CZ.1.06/2.1.00/22.09457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Domažlice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4 843 953,00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nedokončeno nadlimitní ZŘ na ICT - dokumentace před podpisem SoD </w:t>
            </w:r>
            <w:r>
              <w:rPr>
                <w:rFonts w:ascii="Calibri" w:hAnsi="Calibri"/>
                <w:color w:val="000000"/>
              </w:rPr>
              <w:lastRenderedPageBreak/>
              <w:t>schválena 24. 6.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lastRenderedPageBreak/>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Město Železný Brod - obnova IT infrastruktury</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CZ.1.06/2.1.00/22.09570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Železný Brod</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2 321 107,00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obnovu IT - dokumentace před podpisem SoD schválena 28. 5.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MěÚ Jaroměřice nad Rokytnou - elektronizace úřadu</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CZ.1.06/2.1.00/22.09643</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Jaroměřice Nad Rokytnou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1 987 521,00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elektronizaci úřadu - ZD schválena s výhradou 11.5.2015 a VZMR 2. kat na dodávku serveru; předpokládané ukončení VŘ 07/2015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51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Mobilní bezpečná platforma Policie ČR</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CZ.1.06/1.1.00/17.09403</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Ministerstvo vnitra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126 108 000,00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xml:space="preserve">• jednoetapový projekt, blíží se konec termínu realizace projektu                                                               </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AD1198">
              <w:rPr>
                <w:rFonts w:ascii="Calibri" w:hAnsi="Calibri"/>
                <w:sz w:val="48"/>
                <w:szCs w:val="18"/>
              </w:rPr>
              <w:t>=</w:t>
            </w:r>
          </w:p>
        </w:tc>
        <w:tc>
          <w:tcPr>
            <w:tcW w:w="1232" w:type="dxa"/>
            <w:tcBorders>
              <w:top w:val="nil"/>
              <w:left w:val="single" w:sz="4" w:space="0" w:color="auto"/>
              <w:bottom w:val="single" w:sz="4" w:space="0" w:color="auto"/>
              <w:right w:val="single" w:sz="4" w:space="0" w:color="auto"/>
            </w:tcBorders>
            <w:vAlign w:val="center"/>
          </w:tcPr>
          <w:p w:rsidR="00914075" w:rsidRDefault="0003569A" w:rsidP="000525B1">
            <w:pPr>
              <w:jc w:val="center"/>
              <w:rPr>
                <w:rFonts w:ascii="Calibri" w:hAnsi="Calibri"/>
                <w:sz w:val="18"/>
                <w:szCs w:val="18"/>
              </w:rPr>
            </w:pPr>
            <w:r>
              <w:rPr>
                <w:rFonts w:ascii="Calibri" w:hAnsi="Calibri"/>
                <w:sz w:val="18"/>
                <w:szCs w:val="18"/>
              </w:rPr>
              <w:t>6</w:t>
            </w:r>
            <w:r w:rsidR="000525B1">
              <w:rPr>
                <w:rFonts w:ascii="Calibri" w:hAnsi="Calibri"/>
                <w:sz w:val="18"/>
                <w:szCs w:val="18"/>
              </w:rPr>
              <w:t>/</w:t>
            </w:r>
            <w:r w:rsidR="00914075">
              <w:rPr>
                <w:rFonts w:ascii="Calibri" w:hAnsi="Calibri"/>
                <w:sz w:val="18"/>
                <w:szCs w:val="18"/>
              </w:rPr>
              <w:t>3</w:t>
            </w:r>
            <w:r w:rsidR="00FF71DF">
              <w:rPr>
                <w:rFonts w:ascii="Calibri" w:hAnsi="Calibri"/>
                <w:sz w:val="18"/>
                <w:szCs w:val="18"/>
              </w:rPr>
              <w:t>,6</w:t>
            </w:r>
          </w:p>
        </w:tc>
        <w:tc>
          <w:tcPr>
            <w:tcW w:w="1077" w:type="dxa"/>
            <w:tcBorders>
              <w:top w:val="nil"/>
              <w:left w:val="single" w:sz="4" w:space="0" w:color="auto"/>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Moderní elektronický úřad Šlapanice</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CZ.1.06/2.1.00/22.09377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Šlapanice</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31.8.2015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4 949 378,00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dodávku komponent ICT, před podpisem SoD schváleno 30. 3. 2015, dle harmonogramu mělo být dokončeno v 04/2015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0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Modernizace a obnova přístrojového vybavení traumacentra pro dospělé ÚVN - VoFN Praha</w:t>
            </w:r>
          </w:p>
        </w:tc>
        <w:tc>
          <w:tcPr>
            <w:tcW w:w="20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CZ.1.06/3.2.01/18.09292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 xml:space="preserve">Ústřední vojenská nemocnice - Vojenská fakultní </w:t>
            </w:r>
            <w:r>
              <w:rPr>
                <w:rFonts w:ascii="Calibri" w:hAnsi="Calibri"/>
              </w:rPr>
              <w:lastRenderedPageBreak/>
              <w:t>nemocnice Praha</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lastRenderedPageBreak/>
              <w:t>6.3.2</w:t>
            </w:r>
          </w:p>
        </w:tc>
        <w:tc>
          <w:tcPr>
            <w:tcW w:w="10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30.11.2015</w:t>
            </w:r>
          </w:p>
        </w:tc>
        <w:tc>
          <w:tcPr>
            <w:tcW w:w="16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40 872 994,51</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sz w:val="22"/>
                <w:szCs w:val="22"/>
              </w:rPr>
            </w:pPr>
            <w:r>
              <w:rPr>
                <w:rFonts w:ascii="Calibri" w:hAnsi="Calibri"/>
                <w:color w:val="000000"/>
                <w:sz w:val="22"/>
                <w:szCs w:val="22"/>
              </w:rPr>
              <w:t xml:space="preserve">Komplikované VŘ, průtahy na straně příjemce dotace. Projekt má ukončenou </w:t>
            </w:r>
            <w:r>
              <w:rPr>
                <w:rFonts w:ascii="Calibri" w:hAnsi="Calibri"/>
                <w:color w:val="000000"/>
                <w:sz w:val="22"/>
                <w:szCs w:val="22"/>
              </w:rPr>
              <w:lastRenderedPageBreak/>
              <w:t>realizaci k 30.11.2015</w:t>
            </w:r>
          </w:p>
        </w:tc>
        <w:tc>
          <w:tcPr>
            <w:tcW w:w="1381" w:type="dxa"/>
            <w:tcBorders>
              <w:top w:val="nil"/>
              <w:left w:val="nil"/>
              <w:bottom w:val="single" w:sz="4" w:space="0" w:color="auto"/>
              <w:right w:val="single" w:sz="4" w:space="0" w:color="auto"/>
            </w:tcBorders>
            <w:vAlign w:val="center"/>
          </w:tcPr>
          <w:p w:rsidR="00914075" w:rsidRDefault="00914075" w:rsidP="001006D1">
            <w:pPr>
              <w:jc w:val="center"/>
            </w:pPr>
            <w:r w:rsidRPr="00A613B4">
              <w:rPr>
                <w:rFonts w:ascii="Calibri" w:hAnsi="Calibri"/>
                <w:sz w:val="48"/>
                <w:szCs w:val="18"/>
              </w:rPr>
              <w:lastRenderedPageBreak/>
              <w:t>=</w:t>
            </w:r>
          </w:p>
        </w:tc>
        <w:tc>
          <w:tcPr>
            <w:tcW w:w="1232" w:type="dxa"/>
            <w:tcBorders>
              <w:top w:val="nil"/>
              <w:left w:val="nil"/>
              <w:bottom w:val="single" w:sz="4" w:space="0" w:color="auto"/>
              <w:right w:val="single" w:sz="4" w:space="0" w:color="auto"/>
            </w:tcBorders>
            <w:vAlign w:val="center"/>
          </w:tcPr>
          <w:p w:rsidR="00914075" w:rsidRDefault="00721F72" w:rsidP="000525B1">
            <w:pPr>
              <w:jc w:val="center"/>
              <w:rPr>
                <w:rFonts w:ascii="Calibri" w:hAnsi="Calibri"/>
                <w:color w:val="000000"/>
                <w:sz w:val="22"/>
                <w:szCs w:val="22"/>
              </w:rPr>
            </w:pPr>
            <w:r w:rsidRPr="00975B07">
              <w:rPr>
                <w:rFonts w:ascii="Calibri" w:hAnsi="Calibri"/>
                <w:sz w:val="18"/>
                <w:szCs w:val="18"/>
              </w:rPr>
              <w:t>1</w:t>
            </w:r>
            <w:r w:rsidR="00A5714E">
              <w:rPr>
                <w:rFonts w:ascii="Calibri" w:hAnsi="Calibri"/>
                <w:sz w:val="18"/>
                <w:szCs w:val="18"/>
              </w:rPr>
              <w:t>,6</w:t>
            </w:r>
            <w:r w:rsidRPr="00975B07">
              <w:rPr>
                <w:rFonts w:ascii="Calibri" w:hAnsi="Calibri"/>
                <w:sz w:val="18"/>
                <w:szCs w:val="18"/>
              </w:rPr>
              <w:t>/</w:t>
            </w:r>
            <w:r w:rsidR="00914075" w:rsidRPr="00975B07">
              <w:rPr>
                <w:rFonts w:ascii="Calibri" w:hAnsi="Calibri"/>
                <w:sz w:val="18"/>
                <w:szCs w:val="18"/>
              </w:rPr>
              <w:t>3</w:t>
            </w:r>
            <w:r w:rsidR="00A5714E">
              <w:rPr>
                <w:rFonts w:ascii="Calibri" w:hAnsi="Calibri"/>
                <w:sz w:val="18"/>
                <w:szCs w:val="18"/>
              </w:rPr>
              <w:t>,6</w:t>
            </w:r>
          </w:p>
        </w:tc>
        <w:tc>
          <w:tcPr>
            <w:tcW w:w="1077" w:type="dxa"/>
            <w:tcBorders>
              <w:top w:val="nil"/>
              <w:left w:val="nil"/>
              <w:bottom w:val="single" w:sz="4" w:space="0" w:color="auto"/>
              <w:right w:val="single" w:sz="4" w:space="0" w:color="auto"/>
            </w:tcBorders>
            <w:vAlign w:val="center"/>
          </w:tcPr>
          <w:p w:rsidR="00914075" w:rsidRDefault="000525B1" w:rsidP="000525B1">
            <w:pPr>
              <w:jc w:val="center"/>
              <w:rPr>
                <w:rFonts w:ascii="Calibri" w:hAnsi="Calibri"/>
                <w:color w:val="000000"/>
                <w:sz w:val="22"/>
                <w:szCs w:val="22"/>
              </w:rPr>
            </w:pPr>
            <w:r>
              <w:rPr>
                <w:rFonts w:ascii="Calibri" w:hAnsi="Calibri"/>
                <w:color w:val="000000"/>
                <w:sz w:val="22"/>
                <w:szCs w:val="22"/>
              </w:rPr>
              <w:t>1</w:t>
            </w:r>
          </w:p>
        </w:tc>
      </w:tr>
      <w:tr w:rsidR="00914075" w:rsidTr="001006D1">
        <w:trPr>
          <w:trHeight w:val="120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Modernizace elektronického systému stávajícího státního registru CES</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CZ.1.06/1.1.00/17.09385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Moravské zemské muzeum</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4 495 000,00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br/>
              <w:t xml:space="preserve">•  všech 5 VŘ již ukončeno                                                                               •  prodloužení termínu realizace projektu z 30.6.2015 na 30.11.2015 schváleno ze strany ŘO </w:t>
            </w:r>
          </w:p>
        </w:tc>
        <w:tc>
          <w:tcPr>
            <w:tcW w:w="1381" w:type="dxa"/>
            <w:tcBorders>
              <w:top w:val="nil"/>
              <w:left w:val="nil"/>
              <w:bottom w:val="single" w:sz="4" w:space="0" w:color="auto"/>
              <w:right w:val="single" w:sz="4" w:space="0" w:color="auto"/>
            </w:tcBorders>
            <w:vAlign w:val="center"/>
          </w:tcPr>
          <w:p w:rsidR="00914075" w:rsidRDefault="00914075" w:rsidP="001006D1">
            <w:pPr>
              <w:jc w:val="center"/>
            </w:pPr>
            <w:r w:rsidRPr="00A613B4">
              <w:rPr>
                <w:rFonts w:ascii="Calibri" w:hAnsi="Calibri"/>
                <w:sz w:val="48"/>
                <w:szCs w:val="18"/>
              </w:rPr>
              <w:t>=</w:t>
            </w:r>
          </w:p>
        </w:tc>
        <w:tc>
          <w:tcPr>
            <w:tcW w:w="1232" w:type="dxa"/>
            <w:tcBorders>
              <w:top w:val="nil"/>
              <w:left w:val="nil"/>
              <w:bottom w:val="single" w:sz="4" w:space="0" w:color="auto"/>
              <w:right w:val="single" w:sz="4" w:space="0" w:color="auto"/>
            </w:tcBorders>
            <w:vAlign w:val="center"/>
          </w:tcPr>
          <w:p w:rsidR="00914075" w:rsidRDefault="007F6152" w:rsidP="000525B1">
            <w:pPr>
              <w:jc w:val="center"/>
              <w:rPr>
                <w:rFonts w:ascii="Calibri" w:hAnsi="Calibri"/>
                <w:sz w:val="18"/>
                <w:szCs w:val="18"/>
              </w:rPr>
            </w:pPr>
            <w:r>
              <w:rPr>
                <w:rFonts w:ascii="Calibri" w:hAnsi="Calibri"/>
                <w:color w:val="000000"/>
              </w:rPr>
              <w:t>3</w:t>
            </w:r>
            <w:r w:rsidR="00B522D9">
              <w:rPr>
                <w:rFonts w:ascii="Calibri" w:hAnsi="Calibri"/>
                <w:color w:val="000000"/>
              </w:rPr>
              <w:t>/6</w:t>
            </w:r>
          </w:p>
        </w:tc>
        <w:tc>
          <w:tcPr>
            <w:tcW w:w="1077" w:type="dxa"/>
            <w:tcBorders>
              <w:top w:val="nil"/>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1</w:t>
            </w:r>
          </w:p>
        </w:tc>
      </w:tr>
      <w:tr w:rsidR="00914075" w:rsidTr="001006D1">
        <w:trPr>
          <w:trHeight w:val="120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Modernizace komunikační infrastruktury Ministerstva vnitra</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CZ.1.06/1.1.00/17.09386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Ministerstvo vnitra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191 019 123,00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xml:space="preserve">jednoetapový projekt, nedokončeny kontroly dokumentace (nedoloženy ze strany příjemce) </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pPr>
            <w:r w:rsidRPr="00A613B4">
              <w:rPr>
                <w:rFonts w:ascii="Calibri" w:hAnsi="Calibri"/>
                <w:sz w:val="48"/>
                <w:szCs w:val="18"/>
              </w:rPr>
              <w:t>=</w:t>
            </w:r>
          </w:p>
        </w:tc>
        <w:tc>
          <w:tcPr>
            <w:tcW w:w="1232" w:type="dxa"/>
            <w:tcBorders>
              <w:top w:val="nil"/>
              <w:left w:val="single" w:sz="4" w:space="0" w:color="auto"/>
              <w:bottom w:val="single" w:sz="4" w:space="0" w:color="auto"/>
              <w:right w:val="single" w:sz="4" w:space="0" w:color="auto"/>
            </w:tcBorders>
            <w:vAlign w:val="center"/>
          </w:tcPr>
          <w:p w:rsidR="00914075" w:rsidRDefault="007F6152" w:rsidP="000525B1">
            <w:pPr>
              <w:jc w:val="center"/>
              <w:rPr>
                <w:rFonts w:ascii="Calibri" w:hAnsi="Calibri"/>
                <w:sz w:val="18"/>
                <w:szCs w:val="18"/>
              </w:rPr>
            </w:pPr>
            <w:r>
              <w:rPr>
                <w:rFonts w:ascii="Calibri" w:hAnsi="Calibri"/>
                <w:sz w:val="18"/>
                <w:szCs w:val="18"/>
              </w:rPr>
              <w:t>6</w:t>
            </w:r>
            <w:r w:rsidR="00975B07">
              <w:rPr>
                <w:rFonts w:ascii="Calibri" w:hAnsi="Calibri"/>
                <w:sz w:val="18"/>
                <w:szCs w:val="18"/>
              </w:rPr>
              <w:t>/</w:t>
            </w:r>
            <w:r w:rsidR="00914075">
              <w:rPr>
                <w:rFonts w:ascii="Calibri" w:hAnsi="Calibri"/>
                <w:sz w:val="18"/>
                <w:szCs w:val="18"/>
              </w:rPr>
              <w:t>3,</w:t>
            </w:r>
            <w:r w:rsidR="00FF71DF">
              <w:rPr>
                <w:rFonts w:ascii="Calibri" w:hAnsi="Calibri"/>
                <w:sz w:val="18"/>
                <w:szCs w:val="18"/>
              </w:rPr>
              <w:t>6,</w:t>
            </w:r>
            <w:r w:rsidR="00914075">
              <w:rPr>
                <w:rFonts w:ascii="Calibri" w:hAnsi="Calibri"/>
                <w:sz w:val="18"/>
                <w:szCs w:val="18"/>
              </w:rPr>
              <w:t>8</w:t>
            </w:r>
          </w:p>
        </w:tc>
        <w:tc>
          <w:tcPr>
            <w:tcW w:w="1077" w:type="dxa"/>
            <w:tcBorders>
              <w:top w:val="nil"/>
              <w:left w:val="single" w:sz="4" w:space="0" w:color="auto"/>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Nová koncepce pro datová úložiště MPO 2015+</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CZ.1.06/1.1.00/17.09388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Ministerstvo průmyslu a obchodu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33 946 550,00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xml:space="preserve">• jednoetapový projekt </w:t>
            </w:r>
            <w:r>
              <w:rPr>
                <w:rFonts w:ascii="Calibri" w:hAnsi="Calibri"/>
                <w:sz w:val="18"/>
                <w:szCs w:val="18"/>
              </w:rPr>
              <w:br/>
              <w:t>• nedokončeny kontroly dokumentace</w:t>
            </w:r>
          </w:p>
        </w:tc>
        <w:tc>
          <w:tcPr>
            <w:tcW w:w="1381" w:type="dxa"/>
            <w:tcBorders>
              <w:top w:val="nil"/>
              <w:left w:val="nil"/>
              <w:bottom w:val="single" w:sz="4" w:space="0" w:color="auto"/>
              <w:right w:val="single" w:sz="4" w:space="0" w:color="auto"/>
            </w:tcBorders>
            <w:vAlign w:val="center"/>
          </w:tcPr>
          <w:p w:rsidR="00914075" w:rsidRDefault="00914075" w:rsidP="001006D1">
            <w:pPr>
              <w:jc w:val="center"/>
            </w:pPr>
            <w:r w:rsidRPr="001A3735">
              <w:rPr>
                <w:rFonts w:ascii="Calibri" w:hAnsi="Calibri"/>
                <w:sz w:val="48"/>
                <w:szCs w:val="18"/>
              </w:rPr>
              <w:t>=</w:t>
            </w:r>
          </w:p>
        </w:tc>
        <w:tc>
          <w:tcPr>
            <w:tcW w:w="1232" w:type="dxa"/>
            <w:tcBorders>
              <w:top w:val="nil"/>
              <w:left w:val="nil"/>
              <w:bottom w:val="single" w:sz="4" w:space="0" w:color="auto"/>
              <w:right w:val="single" w:sz="4" w:space="0" w:color="auto"/>
            </w:tcBorders>
            <w:vAlign w:val="center"/>
          </w:tcPr>
          <w:p w:rsidR="00914075" w:rsidRDefault="007F6152" w:rsidP="000525B1">
            <w:pPr>
              <w:jc w:val="center"/>
              <w:rPr>
                <w:rFonts w:ascii="Calibri" w:hAnsi="Calibri"/>
                <w:sz w:val="18"/>
                <w:szCs w:val="18"/>
              </w:rPr>
            </w:pPr>
            <w:r>
              <w:rPr>
                <w:rFonts w:ascii="Calibri" w:hAnsi="Calibri"/>
                <w:color w:val="000000"/>
              </w:rPr>
              <w:t>6</w:t>
            </w:r>
            <w:r w:rsidR="00053027">
              <w:rPr>
                <w:rFonts w:ascii="Calibri" w:hAnsi="Calibri"/>
                <w:color w:val="000000"/>
              </w:rPr>
              <w:t>,8</w:t>
            </w:r>
            <w:r w:rsidR="00B522D9">
              <w:rPr>
                <w:rFonts w:ascii="Calibri" w:hAnsi="Calibri"/>
                <w:color w:val="000000"/>
              </w:rPr>
              <w:t>/6</w:t>
            </w:r>
          </w:p>
        </w:tc>
        <w:tc>
          <w:tcPr>
            <w:tcW w:w="1077" w:type="dxa"/>
            <w:tcBorders>
              <w:top w:val="nil"/>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1</w:t>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Otevřené město Liberec</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CZ.1.06/2.1.00/09.07305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LIBEREC</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14 069 625,00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stěžejní VŘ na hlavní aktivity projektu bylo opakováno, prozatím schválena pouze 2. fáze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pPr>
            <w:r w:rsidRPr="001A3735">
              <w:rPr>
                <w:rFonts w:ascii="Calibri" w:hAnsi="Calibri"/>
                <w:sz w:val="48"/>
                <w:szCs w:val="18"/>
              </w:rPr>
              <w:t>=</w:t>
            </w:r>
          </w:p>
        </w:tc>
        <w:tc>
          <w:tcPr>
            <w:tcW w:w="1232" w:type="dxa"/>
            <w:tcBorders>
              <w:top w:val="nil"/>
              <w:left w:val="nil"/>
              <w:bottom w:val="single" w:sz="4" w:space="0" w:color="auto"/>
              <w:right w:val="single" w:sz="4" w:space="0" w:color="auto"/>
            </w:tcBorders>
            <w:shd w:val="clear" w:color="000000" w:fill="FFFFFF"/>
            <w:vAlign w:val="center"/>
          </w:tcPr>
          <w:p w:rsidR="00914075" w:rsidRDefault="007F6152" w:rsidP="000525B1">
            <w:pPr>
              <w:jc w:val="center"/>
              <w:rPr>
                <w:rFonts w:ascii="Calibri" w:hAnsi="Calibri"/>
                <w:color w:val="000000"/>
              </w:rPr>
            </w:pPr>
            <w:r>
              <w:rPr>
                <w:rFonts w:ascii="Calibri" w:hAnsi="Calibri"/>
                <w:color w:val="000000"/>
              </w:rPr>
              <w:t>6,7</w:t>
            </w:r>
            <w:r w:rsidR="00975B07">
              <w:rPr>
                <w:rFonts w:ascii="Calibri" w:hAnsi="Calibri"/>
                <w:color w:val="000000"/>
              </w:rPr>
              <w:t>/</w:t>
            </w:r>
            <w:r w:rsidR="00914075">
              <w:rPr>
                <w:rFonts w:ascii="Calibri" w:hAnsi="Calibri"/>
                <w:color w:val="000000"/>
              </w:rPr>
              <w:t>2,</w:t>
            </w:r>
            <w:r w:rsidR="00FF71DF">
              <w:rPr>
                <w:rFonts w:ascii="Calibri" w:hAnsi="Calibri"/>
                <w:color w:val="000000"/>
              </w:rPr>
              <w:t>6,</w:t>
            </w:r>
            <w:r w:rsidR="00914075">
              <w:rPr>
                <w:rFonts w:ascii="Calibri" w:hAnsi="Calibri"/>
                <w:color w:val="000000"/>
              </w:rPr>
              <w:t>7</w:t>
            </w:r>
          </w:p>
        </w:tc>
        <w:tc>
          <w:tcPr>
            <w:tcW w:w="1077" w:type="dxa"/>
            <w:tcBorders>
              <w:top w:val="nil"/>
              <w:left w:val="nil"/>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1</w:t>
            </w: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Prostorový informační systém Mostecka</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CZ.1.06/2.1.00/22.09566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Most</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4 827 969,00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podlimitní ZŘ dokončeno a schváleno, zbývá vysoutěžit VZMR 2. kat, která vykazují menší zpoždění, nemělo by ovlivnit celkový termín ukončení projektu</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B522D9"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127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lastRenderedPageBreak/>
              <w:t>Příbram - Svatá Hora - vzorová obnova poutního areálu</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CZ.1.06/5.1.00/24.09583</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Římskokatolická farnost u kostela Nanebevzetí Panny Marie Příbram - Svatá Hora</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30.11.2015</w:t>
            </w:r>
          </w:p>
        </w:tc>
        <w:tc>
          <w:tcPr>
            <w:tcW w:w="166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191 193 830,15</w:t>
            </w:r>
          </w:p>
        </w:tc>
        <w:tc>
          <w:tcPr>
            <w:tcW w:w="17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Riziko nedokončení stavebních prací v termínu z důvodu nutných víceprací - harmonogram projektu nemá rezervu pro případné problémy.</w:t>
            </w:r>
          </w:p>
        </w:tc>
        <w:tc>
          <w:tcPr>
            <w:tcW w:w="1381" w:type="dxa"/>
            <w:tcBorders>
              <w:top w:val="single" w:sz="4" w:space="0" w:color="auto"/>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single" w:sz="4" w:space="0" w:color="auto"/>
              <w:bottom w:val="single" w:sz="4" w:space="0" w:color="auto"/>
              <w:right w:val="single" w:sz="4" w:space="0" w:color="auto"/>
            </w:tcBorders>
            <w:vAlign w:val="center"/>
          </w:tcPr>
          <w:p w:rsidR="00914075" w:rsidRDefault="00975B07"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single" w:sz="4" w:space="0" w:color="auto"/>
              <w:bottom w:val="single" w:sz="4" w:space="0" w:color="auto"/>
              <w:right w:val="single" w:sz="4" w:space="0" w:color="auto"/>
            </w:tcBorders>
            <w:vAlign w:val="center"/>
          </w:tcPr>
          <w:p w:rsidR="00914075" w:rsidRDefault="00914075" w:rsidP="000525B1">
            <w:pPr>
              <w:jc w:val="center"/>
              <w:rPr>
                <w:rFonts w:ascii="Calibri" w:hAnsi="Calibri"/>
                <w:color w:val="000000"/>
              </w:rPr>
            </w:pPr>
          </w:p>
        </w:tc>
      </w:tr>
      <w:tr w:rsidR="00914075" w:rsidTr="001006D1">
        <w:trPr>
          <w:trHeight w:val="178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Revitalizace areálu klášterů Český Krumlov</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CZ.1.06/5.1.00/01.06132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Město Český Krumlov</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31.10.2015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323 249 692,00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rsidP="000C23EC">
            <w:pPr>
              <w:rPr>
                <w:rFonts w:ascii="Calibri" w:hAnsi="Calibri"/>
                <w:color w:val="000000"/>
              </w:rPr>
            </w:pPr>
            <w:r>
              <w:rPr>
                <w:rFonts w:ascii="Calibri" w:hAnsi="Calibri"/>
                <w:color w:val="000000"/>
              </w:rPr>
              <w:t xml:space="preserve">Zpoždění v realizaci z důvodu přezkoumávání VŘ ÚOHS a nálezy gotických sklepů, s nimiž se v projektu nepočítalo. Dosud nebyla ukončena všechna VŘ. Není časová rezerva pro případné problémy při výběru dodavatele. </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color w:val="000000"/>
              </w:rPr>
            </w:pPr>
            <w:r w:rsidRPr="00672784">
              <w:rPr>
                <w:rFonts w:ascii="Times New Roman" w:hAnsi="Times New Roman"/>
                <w:color w:val="00B050"/>
                <w:sz w:val="48"/>
              </w:rPr>
              <w:t>↓</w:t>
            </w:r>
          </w:p>
        </w:tc>
        <w:tc>
          <w:tcPr>
            <w:tcW w:w="1232" w:type="dxa"/>
            <w:tcBorders>
              <w:top w:val="nil"/>
              <w:left w:val="single" w:sz="4" w:space="0" w:color="auto"/>
              <w:bottom w:val="single" w:sz="4" w:space="0" w:color="auto"/>
              <w:right w:val="single" w:sz="4" w:space="0" w:color="auto"/>
            </w:tcBorders>
            <w:vAlign w:val="center"/>
          </w:tcPr>
          <w:p w:rsidR="00914075" w:rsidRDefault="00721F72" w:rsidP="000525B1">
            <w:pPr>
              <w:jc w:val="center"/>
              <w:rPr>
                <w:rFonts w:ascii="Calibri" w:hAnsi="Calibri"/>
                <w:color w:val="000000"/>
              </w:rPr>
            </w:pPr>
            <w:r>
              <w:rPr>
                <w:rFonts w:ascii="Calibri" w:hAnsi="Calibri"/>
                <w:color w:val="000000"/>
              </w:rPr>
              <w:t>2</w:t>
            </w:r>
            <w:r w:rsidR="00F57125">
              <w:rPr>
                <w:rFonts w:ascii="Calibri" w:hAnsi="Calibri"/>
                <w:color w:val="000000"/>
              </w:rPr>
              <w:t>,</w:t>
            </w:r>
            <w:r w:rsidR="0062123C">
              <w:rPr>
                <w:rFonts w:ascii="Calibri" w:hAnsi="Calibri"/>
                <w:color w:val="000000"/>
              </w:rPr>
              <w:t>3,6,</w:t>
            </w:r>
            <w:r w:rsidR="00F57125">
              <w:rPr>
                <w:rFonts w:ascii="Calibri" w:hAnsi="Calibri"/>
                <w:color w:val="000000"/>
              </w:rPr>
              <w:t>7</w:t>
            </w:r>
            <w:r>
              <w:rPr>
                <w:rFonts w:ascii="Calibri" w:hAnsi="Calibri"/>
                <w:color w:val="000000"/>
              </w:rPr>
              <w:t>/</w:t>
            </w:r>
            <w:r w:rsidR="00F57125">
              <w:rPr>
                <w:rFonts w:ascii="Calibri" w:hAnsi="Calibri"/>
                <w:color w:val="000000"/>
              </w:rPr>
              <w:t>6,7</w:t>
            </w:r>
          </w:p>
        </w:tc>
        <w:tc>
          <w:tcPr>
            <w:tcW w:w="1077" w:type="dxa"/>
            <w:tcBorders>
              <w:top w:val="nil"/>
              <w:left w:val="single" w:sz="4" w:space="0" w:color="auto"/>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10</w:t>
            </w: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eGovernmentu ve Středočeském kraji</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CZ.1.06/2.1.00/08.07144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Středočeský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106141717</w:t>
            </w:r>
          </w:p>
        </w:tc>
        <w:tc>
          <w:tcPr>
            <w:tcW w:w="179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všechna VŘ ukončena, riziko nedodržení harmonogramu dodávek</w:t>
            </w:r>
          </w:p>
        </w:tc>
        <w:tc>
          <w:tcPr>
            <w:tcW w:w="1381" w:type="dxa"/>
            <w:tcBorders>
              <w:top w:val="nil"/>
              <w:left w:val="single" w:sz="4" w:space="0" w:color="auto"/>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sidRPr="00AD1198">
              <w:rPr>
                <w:rFonts w:ascii="Calibri" w:hAnsi="Calibri"/>
                <w:sz w:val="48"/>
                <w:szCs w:val="18"/>
              </w:rPr>
              <w:t>=</w:t>
            </w:r>
          </w:p>
        </w:tc>
        <w:tc>
          <w:tcPr>
            <w:tcW w:w="1232" w:type="dxa"/>
            <w:tcBorders>
              <w:top w:val="nil"/>
              <w:left w:val="single" w:sz="4" w:space="0" w:color="auto"/>
              <w:bottom w:val="single" w:sz="4" w:space="0" w:color="auto"/>
              <w:right w:val="single" w:sz="4" w:space="0" w:color="auto"/>
            </w:tcBorders>
            <w:shd w:val="clear" w:color="000000" w:fill="FFFFFF"/>
            <w:vAlign w:val="center"/>
          </w:tcPr>
          <w:p w:rsidR="00914075" w:rsidRDefault="0062123C" w:rsidP="000525B1">
            <w:pPr>
              <w:jc w:val="center"/>
              <w:rPr>
                <w:rFonts w:ascii="Calibri" w:hAnsi="Calibri"/>
                <w:color w:val="000000"/>
              </w:rPr>
            </w:pPr>
            <w:r>
              <w:rPr>
                <w:rFonts w:ascii="Calibri" w:hAnsi="Calibri"/>
                <w:color w:val="000000"/>
              </w:rPr>
              <w:t>6,7</w:t>
            </w:r>
            <w:r w:rsidR="00975B07">
              <w:rPr>
                <w:rFonts w:ascii="Calibri" w:hAnsi="Calibri"/>
                <w:color w:val="000000"/>
              </w:rPr>
              <w:t>/</w:t>
            </w:r>
            <w:r w:rsidR="00FF71DF">
              <w:rPr>
                <w:rFonts w:ascii="Calibri" w:hAnsi="Calibri"/>
                <w:color w:val="000000"/>
              </w:rPr>
              <w:t>6,</w:t>
            </w:r>
            <w:r w:rsidR="00914075">
              <w:rPr>
                <w:rFonts w:ascii="Calibri" w:hAnsi="Calibri"/>
                <w:color w:val="000000"/>
              </w:rPr>
              <w:t>7</w:t>
            </w:r>
          </w:p>
        </w:tc>
        <w:tc>
          <w:tcPr>
            <w:tcW w:w="1077" w:type="dxa"/>
            <w:tcBorders>
              <w:top w:val="nil"/>
              <w:left w:val="single" w:sz="4" w:space="0" w:color="auto"/>
              <w:bottom w:val="single" w:sz="4" w:space="0" w:color="auto"/>
              <w:right w:val="single" w:sz="4" w:space="0" w:color="auto"/>
            </w:tcBorders>
            <w:shd w:val="clear" w:color="000000" w:fill="FFFFFF"/>
            <w:vAlign w:val="center"/>
          </w:tcPr>
          <w:p w:rsidR="00914075" w:rsidRDefault="0069779C" w:rsidP="000525B1">
            <w:pPr>
              <w:jc w:val="center"/>
              <w:rPr>
                <w:rFonts w:ascii="Calibri" w:hAnsi="Calibri"/>
                <w:color w:val="000000"/>
              </w:rPr>
            </w:pPr>
            <w:r>
              <w:rPr>
                <w:rFonts w:ascii="Calibri" w:hAnsi="Calibri"/>
                <w:color w:val="000000"/>
              </w:rPr>
              <w:t>3</w:t>
            </w: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služeb technologického centra a elektronizace procesů</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CZ.1.06/2.1.00/22.09459</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Orlová</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2 912 984,00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rozvoj služeb TC - dokumentace před podpisem SoD schválena 7. 7.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0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služeb technologického centra Hlučín</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CZ.1.06/2.1.00/22.09431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Hlučín</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5 099 745,00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 ZŘ na HW a SW pro rozšíření TC - dokumentace před podpisem SoD schválena</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102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Rozvoj služeb Technologického centra ORP Žďár nad Sázavou</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CZ.1.06/2.1.00/22.09611</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Žďár nad Sázavou</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5 097 705,00</w:t>
            </w:r>
          </w:p>
        </w:tc>
        <w:tc>
          <w:tcPr>
            <w:tcW w:w="17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nevyhlášena 2 podlim ZŘ na rozvoj služeb a elektronizaci fin. řízení - zpoždění oproti harmonogramu o cca 3 měsíce</w:t>
            </w:r>
          </w:p>
        </w:tc>
        <w:tc>
          <w:tcPr>
            <w:tcW w:w="1381"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single" w:sz="4" w:space="0" w:color="auto"/>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technologické infrastruktury ICT města Litovel</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CZ.1.06/2.1.00/22.09522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Litovel</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2 613 795,00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neukončeno opakované podlimitní ZŘ na ICT - dochází k mírnému zpoždění - probíhá kontrola dokumentace před podpisem SoD po doplnění příjemce</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technologické infrastruktury ICT města Němčice nad Hanou</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CZ.1.06/2.1.00/22.09634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Němčice nad Hanou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1 979 140,00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podlimitní ZŘ na ICT, dochází ke zpoždění oproti harmonogramu, dosud není schválena ZD, 30. 6. 2015 vrácena zadavateli</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Rozvoj technologické infrastruktury ICT Města Staré Město</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CZ.1.06/2.1.00/22.09527</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Staré Město</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2 765 050,00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opakované podlim ZŘ na dodávku HW a SW, předpoklad ukončení 10.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35DB"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Řízení uživatelských přístupů ke službám TC města</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CZ.1.06/2.1.00/22.09581</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Brno</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31.10.2015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5 100 000,00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nadlimitní ZŘ - nyní probíhá kontrola předložené dokumentace před podpisem SoD</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740A9B" w:rsidP="000525B1">
            <w:pPr>
              <w:jc w:val="center"/>
              <w:rPr>
                <w:rFonts w:ascii="Calibri" w:hAnsi="Calibri"/>
                <w:color w:val="000000"/>
              </w:rPr>
            </w:pPr>
            <w:r>
              <w:rPr>
                <w:rFonts w:ascii="Calibri" w:hAnsi="Calibri"/>
                <w:color w:val="000000"/>
              </w:rPr>
              <w:t>-</w:t>
            </w:r>
            <w:r w:rsidR="00975B07">
              <w:rPr>
                <w:rFonts w:ascii="Calibri" w:hAnsi="Calibri"/>
                <w:color w:val="000000"/>
              </w:rPr>
              <w:t>/</w:t>
            </w:r>
            <w:r w:rsidR="00914075">
              <w:rPr>
                <w:rFonts w:ascii="Calibri" w:hAnsi="Calibri"/>
                <w:color w:val="000000"/>
              </w:rPr>
              <w:t>3</w:t>
            </w:r>
            <w:r w:rsidR="00E8228A">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960"/>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Server pro modernizaci clusteru FN HK</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CZ.1.06/1.1.00/17.09379</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Fakultní nemocnice Hradec Králové</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3 050 000,00</w:t>
            </w:r>
          </w:p>
        </w:tc>
        <w:tc>
          <w:tcPr>
            <w:tcW w:w="17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jednoetapový projekt</w:t>
            </w:r>
            <w:r>
              <w:rPr>
                <w:rFonts w:ascii="Calibri" w:hAnsi="Calibri"/>
                <w:sz w:val="18"/>
                <w:szCs w:val="18"/>
              </w:rPr>
              <w:br/>
              <w:t xml:space="preserve">* zpoždění realizace klíčového VZ -  zdlouhavý proces schválení formou DNS ze strany příjemce </w:t>
            </w:r>
          </w:p>
        </w:tc>
        <w:tc>
          <w:tcPr>
            <w:tcW w:w="1381" w:type="dxa"/>
            <w:tcBorders>
              <w:top w:val="single" w:sz="4" w:space="0" w:color="auto"/>
              <w:left w:val="nil"/>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AD1198">
              <w:rPr>
                <w:rFonts w:ascii="Calibri" w:hAnsi="Calibri"/>
                <w:sz w:val="48"/>
                <w:szCs w:val="18"/>
              </w:rPr>
              <w:t>=</w:t>
            </w:r>
          </w:p>
        </w:tc>
        <w:tc>
          <w:tcPr>
            <w:tcW w:w="1232" w:type="dxa"/>
            <w:tcBorders>
              <w:top w:val="single" w:sz="4" w:space="0" w:color="auto"/>
              <w:left w:val="nil"/>
              <w:bottom w:val="single" w:sz="4" w:space="0" w:color="auto"/>
              <w:right w:val="single" w:sz="4" w:space="0" w:color="auto"/>
            </w:tcBorders>
            <w:vAlign w:val="center"/>
          </w:tcPr>
          <w:p w:rsidR="00914075" w:rsidRDefault="0062123C" w:rsidP="000525B1">
            <w:pPr>
              <w:jc w:val="center"/>
              <w:rPr>
                <w:rFonts w:ascii="Calibri" w:hAnsi="Calibri"/>
                <w:sz w:val="18"/>
                <w:szCs w:val="18"/>
              </w:rPr>
            </w:pPr>
            <w:r>
              <w:rPr>
                <w:rFonts w:ascii="Calibri" w:hAnsi="Calibri"/>
                <w:sz w:val="18"/>
                <w:szCs w:val="18"/>
              </w:rPr>
              <w:t>3,8/</w:t>
            </w:r>
            <w:r w:rsidR="009F798F">
              <w:rPr>
                <w:rFonts w:ascii="Calibri" w:hAnsi="Calibri"/>
                <w:sz w:val="18"/>
                <w:szCs w:val="18"/>
              </w:rPr>
              <w:t>-</w:t>
            </w:r>
          </w:p>
        </w:tc>
        <w:tc>
          <w:tcPr>
            <w:tcW w:w="1077" w:type="dxa"/>
            <w:tcBorders>
              <w:top w:val="single" w:sz="4" w:space="0" w:color="auto"/>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1</w:t>
            </w:r>
          </w:p>
        </w:tc>
      </w:tr>
      <w:tr w:rsidR="00914075" w:rsidTr="001006D1">
        <w:trPr>
          <w:trHeight w:val="96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Sjednocení technologické platformy Policie ČR</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CZ.1.06/1.1.00/17.09395</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Ministerstvo vnitra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519 591 000,00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Jednoetapový projekt, blíží se konec termínu realizace projektu. Zatím nebyla doložena ke kontrole dokumentace po podpisu smlouvy k VŘ 001 a VŘ 002. Napjatý harmonogram.</w:t>
            </w:r>
          </w:p>
          <w:p w:rsidR="00914075" w:rsidRDefault="00914075">
            <w:pPr>
              <w:rPr>
                <w:rFonts w:ascii="Calibri" w:hAnsi="Calibri"/>
                <w:sz w:val="18"/>
                <w:szCs w:val="18"/>
              </w:rPr>
            </w:pPr>
            <w:r>
              <w:rPr>
                <w:rFonts w:ascii="Calibri" w:hAnsi="Calibri"/>
                <w:sz w:val="18"/>
                <w:szCs w:val="18"/>
              </w:rPr>
              <w:br/>
            </w:r>
            <w:r>
              <w:rPr>
                <w:rFonts w:ascii="Calibri" w:hAnsi="Calibri"/>
                <w:sz w:val="18"/>
                <w:szCs w:val="18"/>
              </w:rPr>
              <w:br/>
              <w:t xml:space="preserve">                                                                                                                     </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672784">
              <w:rPr>
                <w:rFonts w:ascii="Times New Roman" w:hAnsi="Times New Roman"/>
                <w:color w:val="00B050"/>
                <w:sz w:val="48"/>
              </w:rPr>
              <w:t>↓</w:t>
            </w:r>
          </w:p>
        </w:tc>
        <w:tc>
          <w:tcPr>
            <w:tcW w:w="1232" w:type="dxa"/>
            <w:tcBorders>
              <w:top w:val="nil"/>
              <w:left w:val="single" w:sz="4" w:space="0" w:color="auto"/>
              <w:bottom w:val="single" w:sz="4" w:space="0" w:color="auto"/>
              <w:right w:val="single" w:sz="4" w:space="0" w:color="auto"/>
            </w:tcBorders>
            <w:vAlign w:val="center"/>
          </w:tcPr>
          <w:p w:rsidR="00914075" w:rsidRDefault="0062123C" w:rsidP="000525B1">
            <w:pPr>
              <w:jc w:val="center"/>
              <w:rPr>
                <w:rFonts w:ascii="Calibri" w:hAnsi="Calibri"/>
                <w:sz w:val="18"/>
                <w:szCs w:val="18"/>
              </w:rPr>
            </w:pPr>
            <w:r>
              <w:rPr>
                <w:rFonts w:ascii="Calibri" w:hAnsi="Calibri"/>
                <w:sz w:val="18"/>
                <w:szCs w:val="18"/>
              </w:rPr>
              <w:t>6</w:t>
            </w:r>
            <w:r w:rsidR="00975B07">
              <w:rPr>
                <w:rFonts w:ascii="Calibri" w:hAnsi="Calibri"/>
                <w:sz w:val="18"/>
                <w:szCs w:val="18"/>
              </w:rPr>
              <w:t>/</w:t>
            </w:r>
            <w:r w:rsidR="00914075">
              <w:rPr>
                <w:rFonts w:ascii="Calibri" w:hAnsi="Calibri"/>
                <w:sz w:val="18"/>
                <w:szCs w:val="18"/>
              </w:rPr>
              <w:t>3,</w:t>
            </w:r>
            <w:r w:rsidR="00E8228A">
              <w:rPr>
                <w:rFonts w:ascii="Calibri" w:hAnsi="Calibri"/>
                <w:sz w:val="18"/>
                <w:szCs w:val="18"/>
              </w:rPr>
              <w:t>6,</w:t>
            </w:r>
            <w:r w:rsidR="00914075">
              <w:rPr>
                <w:rFonts w:ascii="Calibri" w:hAnsi="Calibri"/>
                <w:sz w:val="18"/>
                <w:szCs w:val="18"/>
              </w:rPr>
              <w:t>8</w:t>
            </w:r>
          </w:p>
        </w:tc>
        <w:tc>
          <w:tcPr>
            <w:tcW w:w="1077" w:type="dxa"/>
            <w:tcBorders>
              <w:top w:val="nil"/>
              <w:left w:val="single" w:sz="4" w:space="0" w:color="auto"/>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1006D1">
        <w:trPr>
          <w:trHeight w:val="4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Transformace ÚSP pro tělesně postižené v Hořicích v Podkrkonoší - výstavba v lokalitě Hořice</w:t>
            </w:r>
          </w:p>
        </w:tc>
        <w:tc>
          <w:tcPr>
            <w:tcW w:w="20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CZ.1.06/3.1.00/07.08088</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Královéhradecký kraj</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6.3.1</w:t>
            </w:r>
          </w:p>
        </w:tc>
        <w:tc>
          <w:tcPr>
            <w:tcW w:w="10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30.11.2015</w:t>
            </w:r>
          </w:p>
        </w:tc>
        <w:tc>
          <w:tcPr>
            <w:tcW w:w="16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22 544 829,00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 Z důvodů přepracování projektové dokumentace musí příjemce projednat se stavebním úřadem změnu stavby před dokončením. Příjemce předpokládá, že toto s úřadem bude v pořádku vyřešeno. Ale z jednání s úřadem příjemci vyplynulo reálné riziko (hraničící s jistotou), že v termínu dokončení projektu (11/2015) nebude se závěrečnou </w:t>
            </w:r>
            <w:r>
              <w:rPr>
                <w:rFonts w:ascii="Calibri" w:hAnsi="Calibri"/>
                <w:color w:val="000000"/>
              </w:rPr>
              <w:lastRenderedPageBreak/>
              <w:t xml:space="preserve">monitorovací zprávou (12/2015) schopen doložit pravomocné kolaudační rozhodnutí a tím ani registraci sociální služby, které je dokladem o naplnění indikátorů. </w:t>
            </w:r>
            <w:r>
              <w:rPr>
                <w:rFonts w:ascii="Calibri" w:hAnsi="Calibri"/>
                <w:color w:val="000000"/>
              </w:rPr>
              <w:br/>
              <w:t>Tato situace je řešena společně s ŘO IOP.</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sidRPr="00AD1198">
              <w:rPr>
                <w:rFonts w:ascii="Calibri" w:hAnsi="Calibri"/>
                <w:sz w:val="48"/>
                <w:szCs w:val="18"/>
              </w:rPr>
              <w:lastRenderedPageBreak/>
              <w:t>=</w:t>
            </w:r>
          </w:p>
        </w:tc>
        <w:tc>
          <w:tcPr>
            <w:tcW w:w="1232" w:type="dxa"/>
            <w:tcBorders>
              <w:top w:val="nil"/>
              <w:left w:val="nil"/>
              <w:bottom w:val="single" w:sz="4" w:space="0" w:color="auto"/>
              <w:right w:val="single" w:sz="4" w:space="0" w:color="auto"/>
            </w:tcBorders>
            <w:shd w:val="clear" w:color="000000" w:fill="FFFFFF"/>
            <w:vAlign w:val="center"/>
          </w:tcPr>
          <w:p w:rsidR="00914075" w:rsidRDefault="00721F72" w:rsidP="000525B1">
            <w:pPr>
              <w:jc w:val="center"/>
              <w:rPr>
                <w:rFonts w:ascii="Calibri" w:hAnsi="Calibri"/>
                <w:color w:val="000000"/>
              </w:rPr>
            </w:pPr>
            <w:r>
              <w:rPr>
                <w:rFonts w:ascii="Calibri" w:hAnsi="Calibri"/>
                <w:color w:val="000000"/>
              </w:rPr>
              <w:t>2</w:t>
            </w:r>
            <w:r w:rsidR="00F57125">
              <w:rPr>
                <w:rFonts w:ascii="Calibri" w:hAnsi="Calibri"/>
                <w:color w:val="000000"/>
              </w:rPr>
              <w:t>,</w:t>
            </w:r>
            <w:r w:rsidR="00E8228A">
              <w:rPr>
                <w:rFonts w:ascii="Calibri" w:hAnsi="Calibri"/>
                <w:color w:val="000000"/>
              </w:rPr>
              <w:t>6,</w:t>
            </w:r>
            <w:r w:rsidR="00F57125">
              <w:rPr>
                <w:rFonts w:ascii="Calibri" w:hAnsi="Calibri"/>
                <w:color w:val="000000"/>
              </w:rPr>
              <w:t>7</w:t>
            </w:r>
            <w:r>
              <w:rPr>
                <w:rFonts w:ascii="Calibri" w:hAnsi="Calibri"/>
                <w:color w:val="000000"/>
              </w:rPr>
              <w:t>/</w:t>
            </w:r>
            <w:r w:rsidR="00914075">
              <w:rPr>
                <w:rFonts w:ascii="Calibri" w:hAnsi="Calibri"/>
                <w:color w:val="000000"/>
              </w:rPr>
              <w:t>2,</w:t>
            </w:r>
            <w:r w:rsidR="00E8228A">
              <w:rPr>
                <w:rFonts w:ascii="Calibri" w:hAnsi="Calibri"/>
                <w:color w:val="000000"/>
              </w:rPr>
              <w:t>6,</w:t>
            </w:r>
            <w:r w:rsidR="00914075">
              <w:rPr>
                <w:rFonts w:ascii="Calibri" w:hAnsi="Calibri"/>
                <w:color w:val="000000"/>
              </w:rPr>
              <w:t>7</w:t>
            </w:r>
          </w:p>
        </w:tc>
        <w:tc>
          <w:tcPr>
            <w:tcW w:w="1077" w:type="dxa"/>
            <w:tcBorders>
              <w:top w:val="nil"/>
              <w:left w:val="nil"/>
              <w:bottom w:val="single" w:sz="4" w:space="0" w:color="auto"/>
              <w:right w:val="single" w:sz="4" w:space="0" w:color="auto"/>
            </w:tcBorders>
            <w:shd w:val="clear" w:color="000000" w:fill="FFFFFF"/>
            <w:vAlign w:val="center"/>
          </w:tcPr>
          <w:p w:rsidR="00914075" w:rsidRDefault="000525B1" w:rsidP="000525B1">
            <w:pPr>
              <w:jc w:val="center"/>
              <w:rPr>
                <w:rFonts w:ascii="Calibri" w:hAnsi="Calibri"/>
                <w:color w:val="000000"/>
              </w:rPr>
            </w:pPr>
            <w:r>
              <w:rPr>
                <w:rFonts w:ascii="Calibri" w:hAnsi="Calibri"/>
                <w:color w:val="000000"/>
              </w:rPr>
              <w:t>3</w:t>
            </w:r>
          </w:p>
        </w:tc>
      </w:tr>
      <w:tr w:rsidR="00914075" w:rsidTr="001006D1">
        <w:trPr>
          <w:trHeight w:val="127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Vybrané elektronické služby Statutárního města Liberec a jeho organizací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CZ.1.06/2.1.00/22.09453</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LIBEREC</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2 731 696,00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nedokončena 2 podlimitní ZŘ na dodávku elektronických služeb, ZD schváleny 2. 6. 2015, nemělo by dojít k ohrožení termínu ukončení projektu</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75B07" w:rsidP="000525B1">
            <w:pPr>
              <w:jc w:val="center"/>
              <w:rPr>
                <w:rFonts w:ascii="Calibri" w:hAnsi="Calibri"/>
                <w:color w:val="000000"/>
              </w:rPr>
            </w:pPr>
            <w:r>
              <w:rPr>
                <w:rFonts w:ascii="Calibri" w:hAnsi="Calibri"/>
                <w:color w:val="000000"/>
              </w:rPr>
              <w:t>-/</w:t>
            </w:r>
            <w:r w:rsidR="00E8228A">
              <w:rPr>
                <w:rFonts w:ascii="Calibri" w:hAnsi="Calibri"/>
                <w:color w:val="000000"/>
              </w:rPr>
              <w:t>6,</w:t>
            </w:r>
            <w:r w:rsidR="00914075">
              <w:rPr>
                <w:rFonts w:ascii="Calibri" w:hAnsi="Calibri"/>
                <w:color w:val="000000"/>
              </w:rPr>
              <w:t>8</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96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Zabezpečení dat a komunikační infrastruktury Policie ČR</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CZ.1.06/1.1.00/17.09404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Ministerstvo vnitra</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102 000 000,00</w:t>
            </w:r>
          </w:p>
        </w:tc>
        <w:tc>
          <w:tcPr>
            <w:tcW w:w="17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xml:space="preserve">* jednoetapový projekt </w:t>
            </w:r>
            <w:r>
              <w:rPr>
                <w:rFonts w:ascii="Calibri" w:hAnsi="Calibri"/>
                <w:sz w:val="18"/>
                <w:szCs w:val="18"/>
              </w:rPr>
              <w:br/>
              <w:t>* VZ 001 "část B" znovuvyhlášení, riziko nedodržení harmonogramu</w:t>
            </w:r>
          </w:p>
        </w:tc>
        <w:tc>
          <w:tcPr>
            <w:tcW w:w="1381" w:type="dxa"/>
            <w:tcBorders>
              <w:top w:val="nil"/>
              <w:left w:val="single" w:sz="4" w:space="0" w:color="auto"/>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AD1198">
              <w:rPr>
                <w:rFonts w:ascii="Calibri" w:hAnsi="Calibri"/>
                <w:sz w:val="48"/>
                <w:szCs w:val="18"/>
              </w:rPr>
              <w:t>=</w:t>
            </w:r>
          </w:p>
        </w:tc>
        <w:tc>
          <w:tcPr>
            <w:tcW w:w="1232" w:type="dxa"/>
            <w:tcBorders>
              <w:top w:val="nil"/>
              <w:left w:val="single" w:sz="4" w:space="0" w:color="auto"/>
              <w:bottom w:val="single" w:sz="4" w:space="0" w:color="auto"/>
              <w:right w:val="single" w:sz="4" w:space="0" w:color="auto"/>
            </w:tcBorders>
            <w:vAlign w:val="center"/>
          </w:tcPr>
          <w:p w:rsidR="00914075" w:rsidRDefault="0062123C" w:rsidP="000525B1">
            <w:pPr>
              <w:jc w:val="center"/>
              <w:rPr>
                <w:rFonts w:ascii="Calibri" w:hAnsi="Calibri"/>
                <w:sz w:val="18"/>
                <w:szCs w:val="18"/>
              </w:rPr>
            </w:pPr>
            <w:r>
              <w:rPr>
                <w:rFonts w:ascii="Calibri" w:hAnsi="Calibri"/>
                <w:sz w:val="18"/>
                <w:szCs w:val="18"/>
              </w:rPr>
              <w:t>6</w:t>
            </w:r>
            <w:r w:rsidR="00975B07">
              <w:rPr>
                <w:rFonts w:ascii="Calibri" w:hAnsi="Calibri"/>
                <w:sz w:val="18"/>
                <w:szCs w:val="18"/>
              </w:rPr>
              <w:t>/</w:t>
            </w:r>
            <w:r w:rsidR="00914075">
              <w:rPr>
                <w:rFonts w:ascii="Calibri" w:hAnsi="Calibri"/>
                <w:sz w:val="18"/>
                <w:szCs w:val="18"/>
              </w:rPr>
              <w:t>3</w:t>
            </w:r>
            <w:r w:rsidR="00E8228A">
              <w:rPr>
                <w:rFonts w:ascii="Calibri" w:hAnsi="Calibri"/>
                <w:sz w:val="18"/>
                <w:szCs w:val="18"/>
              </w:rPr>
              <w:t>,6</w:t>
            </w:r>
          </w:p>
        </w:tc>
        <w:tc>
          <w:tcPr>
            <w:tcW w:w="1077" w:type="dxa"/>
            <w:tcBorders>
              <w:top w:val="nil"/>
              <w:left w:val="single" w:sz="4" w:space="0" w:color="auto"/>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2</w:t>
            </w: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Zajištění služby výměny dat ZZ kraje se systémy IZS</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CZ.1.06/2.1.00/19.09280</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Olomoucký kraj</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30.9.2015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6 379 250,00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 xml:space="preserve">zatím není dokončeno nadlimitní ZŘ na eHealth - dokumentace před podpisem SoD </w:t>
            </w:r>
            <w:r>
              <w:rPr>
                <w:rFonts w:ascii="Calibri" w:hAnsi="Calibri"/>
                <w:color w:val="000000"/>
              </w:rPr>
              <w:lastRenderedPageBreak/>
              <w:t>schválena 26.3.2015; v případě potřeby je možné prodloužit realizaci projektu o 2m</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lastRenderedPageBreak/>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75B07" w:rsidP="000525B1">
            <w:pPr>
              <w:jc w:val="center"/>
              <w:rPr>
                <w:rFonts w:ascii="Calibri" w:hAnsi="Calibri"/>
                <w:color w:val="000000"/>
              </w:rPr>
            </w:pPr>
            <w:r>
              <w:rPr>
                <w:rFonts w:ascii="Calibri" w:hAnsi="Calibri"/>
                <w:color w:val="000000"/>
              </w:rPr>
              <w:t>-/</w:t>
            </w:r>
            <w:r w:rsidR="00914075">
              <w:rPr>
                <w:rFonts w:ascii="Calibri" w:hAnsi="Calibri"/>
                <w:color w:val="000000"/>
              </w:rPr>
              <w:t>2</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72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lastRenderedPageBreak/>
              <w:t>Záložní informační centrum GŘC</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CZ.1.06/1.1.00/17.09406</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Generální ředitelství cel</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6.1.1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93 020 764,00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sz w:val="18"/>
                <w:szCs w:val="18"/>
              </w:rPr>
            </w:pPr>
            <w:r>
              <w:rPr>
                <w:rFonts w:ascii="Calibri" w:hAnsi="Calibri"/>
                <w:sz w:val="18"/>
                <w:szCs w:val="18"/>
              </w:rPr>
              <w:t xml:space="preserve">* zpoždění harmonogramu, riziko, že všech pět VŘ se nezrealizuje do 30.11. 2015. </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sz w:val="18"/>
                <w:szCs w:val="18"/>
              </w:rPr>
            </w:pPr>
            <w:r w:rsidRPr="00AD1198">
              <w:rPr>
                <w:rFonts w:ascii="Calibri" w:hAnsi="Calibri"/>
                <w:sz w:val="48"/>
                <w:szCs w:val="18"/>
              </w:rPr>
              <w:t>=</w:t>
            </w:r>
          </w:p>
        </w:tc>
        <w:tc>
          <w:tcPr>
            <w:tcW w:w="1232" w:type="dxa"/>
            <w:tcBorders>
              <w:top w:val="nil"/>
              <w:left w:val="nil"/>
              <w:bottom w:val="single" w:sz="4" w:space="0" w:color="auto"/>
              <w:right w:val="single" w:sz="4" w:space="0" w:color="auto"/>
            </w:tcBorders>
            <w:vAlign w:val="center"/>
          </w:tcPr>
          <w:p w:rsidR="00914075" w:rsidRDefault="0062123C" w:rsidP="000525B1">
            <w:pPr>
              <w:jc w:val="center"/>
              <w:rPr>
                <w:rFonts w:ascii="Calibri" w:hAnsi="Calibri"/>
                <w:sz w:val="18"/>
                <w:szCs w:val="18"/>
              </w:rPr>
            </w:pPr>
            <w:r>
              <w:rPr>
                <w:rFonts w:ascii="Calibri" w:hAnsi="Calibri"/>
                <w:sz w:val="18"/>
                <w:szCs w:val="18"/>
              </w:rPr>
              <w:t>6</w:t>
            </w:r>
            <w:r w:rsidR="00975B07">
              <w:rPr>
                <w:rFonts w:ascii="Calibri" w:hAnsi="Calibri"/>
                <w:sz w:val="18"/>
                <w:szCs w:val="18"/>
              </w:rPr>
              <w:t>/</w:t>
            </w:r>
            <w:r w:rsidR="00914075">
              <w:rPr>
                <w:rFonts w:ascii="Calibri" w:hAnsi="Calibri"/>
                <w:sz w:val="18"/>
                <w:szCs w:val="18"/>
              </w:rPr>
              <w:t>1</w:t>
            </w:r>
          </w:p>
        </w:tc>
        <w:tc>
          <w:tcPr>
            <w:tcW w:w="1077" w:type="dxa"/>
            <w:tcBorders>
              <w:top w:val="nil"/>
              <w:left w:val="nil"/>
              <w:bottom w:val="single" w:sz="4" w:space="0" w:color="auto"/>
              <w:right w:val="single" w:sz="4" w:space="0" w:color="auto"/>
            </w:tcBorders>
            <w:vAlign w:val="center"/>
          </w:tcPr>
          <w:p w:rsidR="00914075" w:rsidRDefault="0069779C" w:rsidP="000525B1">
            <w:pPr>
              <w:jc w:val="center"/>
              <w:rPr>
                <w:rFonts w:ascii="Calibri" w:hAnsi="Calibri"/>
                <w:sz w:val="18"/>
                <w:szCs w:val="18"/>
              </w:rPr>
            </w:pPr>
            <w:r>
              <w:rPr>
                <w:rFonts w:ascii="Calibri" w:hAnsi="Calibri"/>
                <w:sz w:val="18"/>
                <w:szCs w:val="18"/>
              </w:rPr>
              <w:t>1</w:t>
            </w:r>
          </w:p>
        </w:tc>
      </w:tr>
      <w:tr w:rsidR="00914075" w:rsidTr="001006D1">
        <w:trPr>
          <w:trHeight w:val="1530"/>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Zavedení ICT v územní veřejné správě Veselí nad Lužnicí</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CZ.1.06/2.1.00/22.09633</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Město Veselí nad Lužnicí</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2 151 358,00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nedokončeno VŘ na dodavatele modernizace úřadu (VZMR 2. kat), ZD schválena 23.6.2015; dochází ke zpoždění o cca 3m oproti harmonogramu - posun ukončení realizace projektu na 30.11.2015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64DC3" w:rsidP="000525B1">
            <w:pPr>
              <w:jc w:val="center"/>
              <w:rPr>
                <w:rFonts w:ascii="Calibri" w:hAnsi="Calibri"/>
                <w:color w:val="000000"/>
              </w:rPr>
            </w:pPr>
            <w:r>
              <w:rPr>
                <w:rFonts w:ascii="Calibri" w:hAnsi="Calibri"/>
                <w:color w:val="000000"/>
              </w:rPr>
              <w:t>-</w:t>
            </w:r>
            <w:r w:rsidR="009F798F">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1006D1">
        <w:trPr>
          <w:trHeight w:val="229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color w:val="000000"/>
              </w:rPr>
            </w:pPr>
            <w:r>
              <w:rPr>
                <w:rFonts w:ascii="Calibri" w:hAnsi="Calibri"/>
                <w:color w:val="000000"/>
              </w:rPr>
              <w:t>Zvýšení bezpečnosti datové sítě Statutárního města Plzně</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CZ.1.06/2.1.00/22.09334</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Statutární město Plzeň</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6.2.1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color w:val="000000"/>
              </w:rPr>
            </w:pPr>
            <w:r>
              <w:rPr>
                <w:rFonts w:ascii="Calibri" w:hAnsi="Calibri"/>
                <w:color w:val="000000"/>
              </w:rPr>
              <w:t>30.11.2015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5 057 500,00</w:t>
            </w:r>
          </w:p>
        </w:tc>
        <w:tc>
          <w:tcPr>
            <w:tcW w:w="17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nejsou dokončena 2 nadlim ZŘ - ZŘ na systém pro management bezp. Informací - předložena dokumentace před podpisem SoD; ZŘ na systém pro prevenci průniku IPS - dokumentace před podpisem SoD schválena; předpokl. dokončení VŘ 31. 8. 2015</w:t>
            </w:r>
          </w:p>
        </w:tc>
        <w:tc>
          <w:tcPr>
            <w:tcW w:w="1381" w:type="dxa"/>
            <w:tcBorders>
              <w:top w:val="nil"/>
              <w:left w:val="nil"/>
              <w:bottom w:val="single" w:sz="4" w:space="0" w:color="auto"/>
              <w:right w:val="single" w:sz="4" w:space="0" w:color="auto"/>
            </w:tcBorders>
            <w:shd w:val="clear" w:color="000000" w:fill="FFFFFF"/>
            <w:vAlign w:val="center"/>
          </w:tcPr>
          <w:p w:rsidR="00914075" w:rsidRDefault="00914075" w:rsidP="001006D1">
            <w:pPr>
              <w:jc w:val="center"/>
              <w:rPr>
                <w:rFonts w:ascii="Calibri" w:hAnsi="Calibri"/>
                <w:color w:val="000000"/>
              </w:rPr>
            </w:pPr>
            <w:r>
              <w:rPr>
                <w:rFonts w:ascii="Calibri" w:hAnsi="Calibri"/>
                <w:color w:val="000000"/>
              </w:rPr>
              <w:t>Nově zařazen</w:t>
            </w:r>
          </w:p>
        </w:tc>
        <w:tc>
          <w:tcPr>
            <w:tcW w:w="1232" w:type="dxa"/>
            <w:tcBorders>
              <w:top w:val="nil"/>
              <w:left w:val="nil"/>
              <w:bottom w:val="single" w:sz="4" w:space="0" w:color="auto"/>
              <w:right w:val="single" w:sz="4" w:space="0" w:color="auto"/>
            </w:tcBorders>
            <w:shd w:val="clear" w:color="000000" w:fill="FFFFFF"/>
            <w:vAlign w:val="center"/>
          </w:tcPr>
          <w:p w:rsidR="00914075" w:rsidRDefault="009F798F" w:rsidP="000525B1">
            <w:pPr>
              <w:jc w:val="center"/>
              <w:rPr>
                <w:rFonts w:ascii="Calibri" w:hAnsi="Calibri"/>
                <w:color w:val="000000"/>
              </w:rPr>
            </w:pPr>
            <w:r>
              <w:rPr>
                <w:rFonts w:ascii="Calibri" w:hAnsi="Calibri"/>
                <w:color w:val="000000"/>
              </w:rPr>
              <w:t>-/6</w:t>
            </w:r>
          </w:p>
        </w:tc>
        <w:tc>
          <w:tcPr>
            <w:tcW w:w="1077" w:type="dxa"/>
            <w:tcBorders>
              <w:top w:val="nil"/>
              <w:left w:val="nil"/>
              <w:bottom w:val="single" w:sz="4" w:space="0" w:color="auto"/>
              <w:right w:val="single" w:sz="4" w:space="0" w:color="auto"/>
            </w:tcBorders>
            <w:shd w:val="clear" w:color="000000" w:fill="FFFFFF"/>
            <w:vAlign w:val="center"/>
          </w:tcPr>
          <w:p w:rsidR="00914075" w:rsidRDefault="00914075" w:rsidP="000525B1">
            <w:pPr>
              <w:jc w:val="center"/>
              <w:rPr>
                <w:rFonts w:ascii="Calibri" w:hAnsi="Calibri"/>
                <w:color w:val="000000"/>
              </w:rPr>
            </w:pPr>
          </w:p>
        </w:tc>
      </w:tr>
      <w:tr w:rsidR="00914075" w:rsidTr="00847E32">
        <w:trPr>
          <w:trHeight w:val="765"/>
        </w:trPr>
        <w:tc>
          <w:tcPr>
            <w:tcW w:w="2973"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lastRenderedPageBreak/>
              <w:t>Zvýšení povědomí o atraktivitách regionů ČR s cílem zvýšení návštěvnosti</w:t>
            </w:r>
          </w:p>
        </w:tc>
        <w:tc>
          <w:tcPr>
            <w:tcW w:w="20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CZ.1.06/4.1.00/12.09651</w:t>
            </w:r>
          </w:p>
        </w:tc>
        <w:tc>
          <w:tcPr>
            <w:tcW w:w="138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ČESKÁ CENTRÁLA CESTOVNÍHO RUCHU</w:t>
            </w:r>
          </w:p>
        </w:tc>
        <w:tc>
          <w:tcPr>
            <w:tcW w:w="83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92 857 143,00</w:t>
            </w:r>
          </w:p>
        </w:tc>
        <w:tc>
          <w:tcPr>
            <w:tcW w:w="17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Zpoždění v realizaci z důvodu opakovaných VŘ, dosud neukončena VŘ (JŘBÚ)</w:t>
            </w:r>
          </w:p>
        </w:tc>
        <w:tc>
          <w:tcPr>
            <w:tcW w:w="1381" w:type="dxa"/>
            <w:tcBorders>
              <w:top w:val="single" w:sz="4" w:space="0" w:color="auto"/>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sidRPr="00672784">
              <w:rPr>
                <w:rFonts w:ascii="Times New Roman" w:hAnsi="Times New Roman"/>
                <w:color w:val="00B050"/>
                <w:sz w:val="48"/>
              </w:rPr>
              <w:t>↓</w:t>
            </w:r>
          </w:p>
        </w:tc>
        <w:tc>
          <w:tcPr>
            <w:tcW w:w="1232" w:type="dxa"/>
            <w:tcBorders>
              <w:top w:val="single" w:sz="4" w:space="0" w:color="auto"/>
              <w:left w:val="nil"/>
              <w:bottom w:val="single" w:sz="4" w:space="0" w:color="auto"/>
              <w:right w:val="single" w:sz="4" w:space="0" w:color="auto"/>
            </w:tcBorders>
            <w:vAlign w:val="center"/>
          </w:tcPr>
          <w:p w:rsidR="00914075" w:rsidRDefault="00964DC3" w:rsidP="000525B1">
            <w:pPr>
              <w:jc w:val="center"/>
              <w:rPr>
                <w:rFonts w:ascii="Calibri" w:hAnsi="Calibri"/>
                <w:color w:val="000000"/>
              </w:rPr>
            </w:pPr>
            <w:r>
              <w:rPr>
                <w:rFonts w:ascii="Calibri" w:hAnsi="Calibri"/>
                <w:color w:val="000000"/>
              </w:rPr>
              <w:t>6</w:t>
            </w:r>
            <w:r w:rsidR="00975B07">
              <w:rPr>
                <w:rFonts w:ascii="Calibri" w:hAnsi="Calibri"/>
                <w:color w:val="000000"/>
              </w:rPr>
              <w:t>/</w:t>
            </w:r>
            <w:r w:rsidR="00914075">
              <w:rPr>
                <w:rFonts w:ascii="Calibri" w:hAnsi="Calibri"/>
                <w:color w:val="000000"/>
              </w:rPr>
              <w:t>3,6</w:t>
            </w:r>
          </w:p>
        </w:tc>
        <w:tc>
          <w:tcPr>
            <w:tcW w:w="1077" w:type="dxa"/>
            <w:tcBorders>
              <w:top w:val="single" w:sz="4" w:space="0" w:color="auto"/>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1</w:t>
            </w:r>
          </w:p>
        </w:tc>
      </w:tr>
      <w:tr w:rsidR="00914075" w:rsidTr="001006D1">
        <w:trPr>
          <w:trHeight w:val="765"/>
        </w:trPr>
        <w:tc>
          <w:tcPr>
            <w:tcW w:w="2973" w:type="dxa"/>
            <w:tcBorders>
              <w:top w:val="nil"/>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914075" w:rsidRDefault="00914075">
            <w:pPr>
              <w:rPr>
                <w:rFonts w:ascii="Calibri" w:hAnsi="Calibri"/>
              </w:rPr>
            </w:pPr>
            <w:r>
              <w:rPr>
                <w:rFonts w:ascii="Calibri" w:hAnsi="Calibri"/>
              </w:rPr>
              <w:t>Zvýšení povědomí o atraktivitách regionů ČR s cílem zvýšení návštěvnosti</w:t>
            </w:r>
          </w:p>
        </w:tc>
        <w:tc>
          <w:tcPr>
            <w:tcW w:w="20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CZ.1.06/4.1.00/12.09652</w:t>
            </w:r>
          </w:p>
        </w:tc>
        <w:tc>
          <w:tcPr>
            <w:tcW w:w="13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ČESKÁ CENTRÁLA CESTOVNÍHO RUCHU</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4.1</w:t>
            </w:r>
          </w:p>
        </w:tc>
        <w:tc>
          <w:tcPr>
            <w:tcW w:w="10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31.12.2015</w:t>
            </w:r>
          </w:p>
        </w:tc>
        <w:tc>
          <w:tcPr>
            <w:tcW w:w="1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4075" w:rsidRDefault="00914075">
            <w:pPr>
              <w:jc w:val="center"/>
              <w:rPr>
                <w:rFonts w:ascii="Calibri" w:hAnsi="Calibri"/>
              </w:rPr>
            </w:pPr>
            <w:r>
              <w:rPr>
                <w:rFonts w:ascii="Calibri" w:hAnsi="Calibri"/>
              </w:rPr>
              <w:t>7 142 857,00</w:t>
            </w:r>
          </w:p>
        </w:tc>
        <w:tc>
          <w:tcPr>
            <w:tcW w:w="179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14075" w:rsidRDefault="00914075">
            <w:pPr>
              <w:rPr>
                <w:rFonts w:ascii="Calibri" w:hAnsi="Calibri"/>
                <w:color w:val="000000"/>
              </w:rPr>
            </w:pPr>
            <w:r>
              <w:rPr>
                <w:rFonts w:ascii="Calibri" w:hAnsi="Calibri"/>
                <w:color w:val="000000"/>
              </w:rPr>
              <w:t>Zpoždění v realizaci z důvodu opakovaných VŘ, dosud neukončena VŘ (JŘBÚ)</w:t>
            </w:r>
          </w:p>
        </w:tc>
        <w:tc>
          <w:tcPr>
            <w:tcW w:w="1381" w:type="dxa"/>
            <w:tcBorders>
              <w:top w:val="nil"/>
              <w:left w:val="nil"/>
              <w:bottom w:val="single" w:sz="4" w:space="0" w:color="auto"/>
              <w:right w:val="single" w:sz="4" w:space="0" w:color="auto"/>
            </w:tcBorders>
            <w:vAlign w:val="center"/>
          </w:tcPr>
          <w:p w:rsidR="00914075" w:rsidRDefault="00914075" w:rsidP="001006D1">
            <w:pPr>
              <w:jc w:val="center"/>
              <w:rPr>
                <w:rFonts w:ascii="Calibri" w:hAnsi="Calibri"/>
                <w:color w:val="000000"/>
              </w:rPr>
            </w:pPr>
            <w:r w:rsidRPr="00672784">
              <w:rPr>
                <w:rFonts w:ascii="Times New Roman" w:hAnsi="Times New Roman"/>
                <w:color w:val="00B050"/>
                <w:sz w:val="48"/>
              </w:rPr>
              <w:t>↓</w:t>
            </w:r>
          </w:p>
        </w:tc>
        <w:tc>
          <w:tcPr>
            <w:tcW w:w="1232" w:type="dxa"/>
            <w:tcBorders>
              <w:top w:val="nil"/>
              <w:left w:val="nil"/>
              <w:bottom w:val="single" w:sz="4" w:space="0" w:color="auto"/>
              <w:right w:val="single" w:sz="4" w:space="0" w:color="auto"/>
            </w:tcBorders>
            <w:vAlign w:val="center"/>
          </w:tcPr>
          <w:p w:rsidR="00914075" w:rsidRDefault="00964DC3" w:rsidP="000525B1">
            <w:pPr>
              <w:jc w:val="center"/>
              <w:rPr>
                <w:rFonts w:ascii="Calibri" w:hAnsi="Calibri"/>
                <w:color w:val="000000"/>
              </w:rPr>
            </w:pPr>
            <w:r>
              <w:rPr>
                <w:rFonts w:ascii="Calibri" w:hAnsi="Calibri"/>
                <w:color w:val="000000"/>
              </w:rPr>
              <w:t>6</w:t>
            </w:r>
            <w:r w:rsidR="00975B07">
              <w:rPr>
                <w:rFonts w:ascii="Calibri" w:hAnsi="Calibri"/>
                <w:color w:val="000000"/>
              </w:rPr>
              <w:t>/</w:t>
            </w:r>
            <w:r w:rsidR="00914075">
              <w:rPr>
                <w:rFonts w:ascii="Calibri" w:hAnsi="Calibri"/>
                <w:color w:val="000000"/>
              </w:rPr>
              <w:t>3,6</w:t>
            </w:r>
          </w:p>
        </w:tc>
        <w:tc>
          <w:tcPr>
            <w:tcW w:w="1077" w:type="dxa"/>
            <w:tcBorders>
              <w:top w:val="nil"/>
              <w:left w:val="nil"/>
              <w:bottom w:val="single" w:sz="4" w:space="0" w:color="auto"/>
              <w:right w:val="single" w:sz="4" w:space="0" w:color="auto"/>
            </w:tcBorders>
            <w:vAlign w:val="center"/>
          </w:tcPr>
          <w:p w:rsidR="00914075" w:rsidRDefault="000525B1" w:rsidP="000525B1">
            <w:pPr>
              <w:jc w:val="center"/>
              <w:rPr>
                <w:rFonts w:ascii="Calibri" w:hAnsi="Calibri"/>
                <w:color w:val="000000"/>
              </w:rPr>
            </w:pPr>
            <w:r>
              <w:rPr>
                <w:rFonts w:ascii="Calibri" w:hAnsi="Calibri"/>
                <w:color w:val="000000"/>
              </w:rPr>
              <w:t>1</w:t>
            </w:r>
          </w:p>
        </w:tc>
      </w:tr>
    </w:tbl>
    <w:p w:rsidR="0082529F" w:rsidRDefault="00252871" w:rsidP="00D455D1">
      <w:pPr>
        <w:spacing w:after="200" w:line="276" w:lineRule="auto"/>
        <w:rPr>
          <w:rFonts w:asciiTheme="minorHAnsi" w:eastAsiaTheme="minorHAnsi" w:hAnsiTheme="minorHAnsi" w:cstheme="minorBidi"/>
          <w:sz w:val="22"/>
          <w:szCs w:val="22"/>
          <w:lang w:eastAsia="en-US"/>
        </w:rPr>
      </w:pPr>
      <w:r>
        <w:rPr>
          <w:rFonts w:eastAsiaTheme="minorHAnsi"/>
          <w:lang w:eastAsia="en-US"/>
        </w:rPr>
        <w:t xml:space="preserve"> </w:t>
      </w:r>
      <w:r w:rsidR="00AF2BD8">
        <w:rPr>
          <w:rFonts w:eastAsiaTheme="minorHAnsi"/>
          <w:lang w:eastAsia="en-US"/>
        </w:rPr>
        <w:fldChar w:fldCharType="begin"/>
      </w:r>
      <w:r w:rsidR="00AF2BD8">
        <w:rPr>
          <w:rFonts w:eastAsiaTheme="minorHAnsi"/>
          <w:lang w:eastAsia="en-US"/>
        </w:rPr>
        <w:instrText xml:space="preserve"> LINK </w:instrText>
      </w:r>
      <w:r w:rsidR="00793640">
        <w:rPr>
          <w:rFonts w:eastAsiaTheme="minorHAnsi"/>
          <w:lang w:eastAsia="en-US"/>
        </w:rPr>
        <w:instrText xml:space="preserve">Excel.Sheet.12 "C:\\Users\\horjak\\Desktop\\Kopie - rizikové projekty_7-2015_červenec.xlsx" Rizikové_7-2015!R2C3:R96C9 </w:instrText>
      </w:r>
      <w:r w:rsidR="00AF2BD8">
        <w:rPr>
          <w:rFonts w:eastAsiaTheme="minorHAnsi"/>
          <w:lang w:eastAsia="en-US"/>
        </w:rPr>
        <w:instrText xml:space="preserve">\a \f 4 \h </w:instrText>
      </w:r>
      <w:r w:rsidR="00626872">
        <w:rPr>
          <w:rFonts w:eastAsiaTheme="minorHAnsi"/>
          <w:lang w:eastAsia="en-US"/>
        </w:rPr>
        <w:instrText xml:space="preserve"> \* MERGEFORMAT </w:instrText>
      </w:r>
      <w:r w:rsidR="00AF2BD8">
        <w:rPr>
          <w:rFonts w:eastAsiaTheme="minorHAnsi"/>
          <w:lang w:eastAsia="en-US"/>
        </w:rPr>
        <w:fldChar w:fldCharType="separate"/>
      </w:r>
    </w:p>
    <w:p w:rsidR="00D455D1" w:rsidRPr="00D455D1" w:rsidRDefault="00AF2BD8" w:rsidP="00D455D1">
      <w:pPr>
        <w:spacing w:after="200" w:line="276" w:lineRule="auto"/>
        <w:rPr>
          <w:rFonts w:asciiTheme="minorHAnsi" w:eastAsiaTheme="minorHAnsi" w:hAnsiTheme="minorHAnsi" w:cstheme="minorBidi"/>
          <w:b/>
          <w:sz w:val="26"/>
          <w:szCs w:val="26"/>
          <w:lang w:eastAsia="en-US"/>
        </w:rPr>
      </w:pPr>
      <w:r>
        <w:rPr>
          <w:rFonts w:asciiTheme="minorHAnsi" w:eastAsiaTheme="minorHAnsi" w:hAnsiTheme="minorHAnsi" w:cstheme="minorBidi"/>
          <w:b/>
          <w:sz w:val="26"/>
          <w:szCs w:val="26"/>
          <w:lang w:eastAsia="en-US"/>
        </w:rPr>
        <w:fldChar w:fldCharType="end"/>
      </w:r>
    </w:p>
    <w:p w:rsidR="00D455D1" w:rsidRPr="00D455D1" w:rsidRDefault="00D455D1" w:rsidP="00D455D1">
      <w:pPr>
        <w:spacing w:after="200" w:line="276" w:lineRule="auto"/>
        <w:rPr>
          <w:rFonts w:asciiTheme="minorHAnsi" w:eastAsiaTheme="minorHAnsi" w:hAnsiTheme="minorHAnsi" w:cstheme="minorBidi"/>
          <w:b/>
          <w:sz w:val="26"/>
          <w:szCs w:val="26"/>
          <w:lang w:eastAsia="en-US"/>
        </w:rPr>
      </w:pPr>
    </w:p>
    <w:p w:rsidR="00D455D1" w:rsidRDefault="00D455D1" w:rsidP="00D455D1">
      <w:pPr>
        <w:spacing w:after="200" w:line="276" w:lineRule="auto"/>
        <w:rPr>
          <w:rFonts w:asciiTheme="minorHAnsi" w:eastAsiaTheme="minorHAnsi" w:hAnsiTheme="minorHAnsi" w:cstheme="minorBidi"/>
          <w:b/>
          <w:sz w:val="26"/>
          <w:szCs w:val="26"/>
          <w:lang w:eastAsia="en-US"/>
        </w:rPr>
      </w:pPr>
    </w:p>
    <w:p w:rsidR="003C0B30" w:rsidRDefault="003C0B30" w:rsidP="00D455D1">
      <w:pPr>
        <w:spacing w:after="200" w:line="276" w:lineRule="auto"/>
        <w:rPr>
          <w:rFonts w:asciiTheme="minorHAnsi" w:eastAsiaTheme="minorHAnsi" w:hAnsiTheme="minorHAnsi" w:cstheme="minorBidi"/>
          <w:b/>
          <w:sz w:val="26"/>
          <w:szCs w:val="26"/>
          <w:lang w:eastAsia="en-US"/>
        </w:rPr>
      </w:pPr>
    </w:p>
    <w:p w:rsidR="000525B1" w:rsidRDefault="000525B1" w:rsidP="00D455D1">
      <w:pPr>
        <w:spacing w:after="200" w:line="276" w:lineRule="auto"/>
        <w:rPr>
          <w:rFonts w:asciiTheme="minorHAnsi" w:eastAsiaTheme="minorHAnsi" w:hAnsiTheme="minorHAnsi" w:cstheme="minorBidi"/>
          <w:b/>
          <w:sz w:val="26"/>
          <w:szCs w:val="26"/>
          <w:lang w:eastAsia="en-US"/>
        </w:rPr>
        <w:sectPr w:rsidR="000525B1" w:rsidSect="00FC0A33">
          <w:pgSz w:w="16838" w:h="11906" w:orient="landscape"/>
          <w:pgMar w:top="1272" w:right="720" w:bottom="720" w:left="720" w:header="426" w:footer="708" w:gutter="0"/>
          <w:cols w:space="708"/>
          <w:docGrid w:linePitch="360"/>
        </w:sectPr>
      </w:pPr>
    </w:p>
    <w:p w:rsidR="00D455D1" w:rsidRDefault="00D455D1" w:rsidP="00D455D1">
      <w:pPr>
        <w:spacing w:after="200" w:line="276" w:lineRule="auto"/>
        <w:rPr>
          <w:rFonts w:asciiTheme="minorHAnsi" w:eastAsiaTheme="minorHAnsi" w:hAnsiTheme="minorHAnsi" w:cstheme="minorBidi"/>
          <w:b/>
          <w:sz w:val="26"/>
          <w:szCs w:val="26"/>
          <w:lang w:eastAsia="en-US"/>
        </w:rPr>
      </w:pPr>
      <w:r w:rsidRPr="00D455D1">
        <w:rPr>
          <w:rFonts w:asciiTheme="minorHAnsi" w:eastAsiaTheme="minorHAnsi" w:hAnsiTheme="minorHAnsi" w:cstheme="minorBidi"/>
          <w:b/>
          <w:sz w:val="26"/>
          <w:szCs w:val="26"/>
          <w:lang w:eastAsia="en-US"/>
        </w:rPr>
        <w:lastRenderedPageBreak/>
        <w:t xml:space="preserve">Příloha č. </w:t>
      </w:r>
      <w:r w:rsidR="00D944D2">
        <w:rPr>
          <w:rFonts w:asciiTheme="minorHAnsi" w:eastAsiaTheme="minorHAnsi" w:hAnsiTheme="minorHAnsi" w:cstheme="minorBidi"/>
          <w:b/>
          <w:sz w:val="26"/>
          <w:szCs w:val="26"/>
          <w:lang w:eastAsia="en-US"/>
        </w:rPr>
        <w:t>2</w:t>
      </w:r>
      <w:r w:rsidRPr="00D455D1">
        <w:rPr>
          <w:rFonts w:asciiTheme="minorHAnsi" w:eastAsiaTheme="minorHAnsi" w:hAnsiTheme="minorHAnsi" w:cstheme="minorBidi"/>
          <w:b/>
          <w:sz w:val="26"/>
          <w:szCs w:val="26"/>
          <w:lang w:eastAsia="en-US"/>
        </w:rPr>
        <w:t xml:space="preserve"> Kritéria spících a rizikových projektů</w:t>
      </w:r>
    </w:p>
    <w:p w:rsidR="006D2132" w:rsidRPr="00D455D1" w:rsidRDefault="006D2132" w:rsidP="00D455D1">
      <w:pPr>
        <w:spacing w:after="200" w:line="276" w:lineRule="auto"/>
        <w:rPr>
          <w:rFonts w:asciiTheme="minorHAnsi" w:eastAsiaTheme="minorHAnsi" w:hAnsiTheme="minorHAnsi" w:cstheme="minorBidi"/>
          <w:b/>
          <w:sz w:val="26"/>
          <w:szCs w:val="26"/>
          <w:lang w:eastAsia="en-US"/>
        </w:rPr>
      </w:pPr>
      <w:r w:rsidRPr="006D2132">
        <w:rPr>
          <w:rFonts w:eastAsiaTheme="minorHAnsi"/>
          <w:noProof/>
        </w:rPr>
        <w:drawing>
          <wp:inline distT="0" distB="0" distL="0" distR="0" wp14:anchorId="69A17DBF" wp14:editId="7361F88D">
            <wp:extent cx="8892540" cy="314361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3143610"/>
                    </a:xfrm>
                    <a:prstGeom prst="rect">
                      <a:avLst/>
                    </a:prstGeom>
                    <a:noFill/>
                    <a:ln>
                      <a:noFill/>
                    </a:ln>
                  </pic:spPr>
                </pic:pic>
              </a:graphicData>
            </a:graphic>
          </wp:inline>
        </w:drawing>
      </w:r>
    </w:p>
    <w:sectPr w:rsidR="006D2132" w:rsidRPr="00D455D1" w:rsidSect="00FC0A33">
      <w:pgSz w:w="16838" w:h="11906" w:orient="landscape"/>
      <w:pgMar w:top="1272"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33" w:rsidRDefault="00DF3333" w:rsidP="00CD062C">
      <w:r>
        <w:separator/>
      </w:r>
    </w:p>
  </w:endnote>
  <w:endnote w:type="continuationSeparator" w:id="0">
    <w:p w:rsidR="00DF3333" w:rsidRDefault="00DF3333" w:rsidP="00CD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39738"/>
      <w:docPartObj>
        <w:docPartGallery w:val="Page Numbers (Bottom of Page)"/>
        <w:docPartUnique/>
      </w:docPartObj>
    </w:sdtPr>
    <w:sdtEndPr/>
    <w:sdtContent>
      <w:p w:rsidR="00B13780" w:rsidRDefault="00B13780">
        <w:pPr>
          <w:pStyle w:val="Zpat"/>
          <w:jc w:val="center"/>
        </w:pPr>
        <w:r>
          <w:fldChar w:fldCharType="begin"/>
        </w:r>
        <w:r>
          <w:instrText>PAGE   \* MERGEFORMAT</w:instrText>
        </w:r>
        <w:r>
          <w:fldChar w:fldCharType="separate"/>
        </w:r>
        <w:r w:rsidR="00092C29">
          <w:rPr>
            <w:noProof/>
          </w:rPr>
          <w:t>1</w:t>
        </w:r>
        <w:r>
          <w:rPr>
            <w:noProof/>
          </w:rPr>
          <w:fldChar w:fldCharType="end"/>
        </w:r>
      </w:p>
    </w:sdtContent>
  </w:sdt>
  <w:p w:rsidR="00B13780" w:rsidRDefault="00B137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33" w:rsidRDefault="00DF3333" w:rsidP="00CD062C">
      <w:r>
        <w:separator/>
      </w:r>
    </w:p>
  </w:footnote>
  <w:footnote w:type="continuationSeparator" w:id="0">
    <w:p w:rsidR="00DF3333" w:rsidRDefault="00DF3333" w:rsidP="00CD062C">
      <w:r>
        <w:continuationSeparator/>
      </w:r>
    </w:p>
  </w:footnote>
  <w:footnote w:id="1">
    <w:p w:rsidR="00B13780" w:rsidRPr="00EB1DA9" w:rsidRDefault="00B13780">
      <w:pPr>
        <w:pStyle w:val="Textpoznpodarou"/>
        <w:rPr>
          <w:rFonts w:cs="Arial"/>
          <w:sz w:val="18"/>
          <w:szCs w:val="18"/>
        </w:rPr>
      </w:pPr>
      <w:r w:rsidRPr="00EB1DA9">
        <w:rPr>
          <w:rStyle w:val="Znakapoznpodarou"/>
          <w:rFonts w:cs="Arial"/>
          <w:sz w:val="18"/>
          <w:szCs w:val="18"/>
        </w:rPr>
        <w:footnoteRef/>
      </w:r>
      <w:r w:rsidRPr="00EB1DA9">
        <w:rPr>
          <w:rFonts w:cs="Arial"/>
          <w:sz w:val="18"/>
          <w:szCs w:val="18"/>
        </w:rPr>
        <w:t xml:space="preserve"> Sledováno od r. 2012</w:t>
      </w:r>
    </w:p>
    <w:p w:rsidR="00B13780" w:rsidRPr="00EB1DA9" w:rsidRDefault="00B13780">
      <w:pPr>
        <w:pStyle w:val="Textpoznpodarou"/>
        <w:rPr>
          <w:rFonts w:cs="Arial"/>
          <w:color w:val="FF0000"/>
          <w:sz w:val="18"/>
          <w:szCs w:val="18"/>
        </w:rPr>
      </w:pPr>
      <w:r w:rsidRPr="00EB1DA9">
        <w:rPr>
          <w:rFonts w:cs="Arial"/>
          <w:color w:val="FF0000"/>
          <w:sz w:val="18"/>
          <w:szCs w:val="18"/>
        </w:rPr>
        <w:t>↑ - projekt se posunul z rizikového do vysoce rizikového</w:t>
      </w:r>
    </w:p>
    <w:p w:rsidR="00B13780" w:rsidRDefault="00B13780">
      <w:pPr>
        <w:pStyle w:val="Textpoznpodarou"/>
        <w:rPr>
          <w:rFonts w:cs="Arial"/>
          <w:color w:val="00B050"/>
          <w:sz w:val="18"/>
          <w:szCs w:val="18"/>
        </w:rPr>
      </w:pPr>
      <w:r w:rsidRPr="00EB1DA9">
        <w:rPr>
          <w:rFonts w:cs="Arial"/>
          <w:color w:val="00B050"/>
          <w:sz w:val="18"/>
          <w:szCs w:val="18"/>
        </w:rPr>
        <w:t>↓ - projekt se posunul z vysoce rizikového do rizikového</w:t>
      </w:r>
    </w:p>
    <w:p w:rsidR="00B13780" w:rsidRPr="00EB1DA9" w:rsidRDefault="00B13780">
      <w:pPr>
        <w:pStyle w:val="Textpoznpodarou"/>
        <w:rPr>
          <w:rFonts w:cs="Arial"/>
          <w:sz w:val="18"/>
          <w:szCs w:val="18"/>
        </w:rPr>
      </w:pPr>
      <w:r w:rsidRPr="00EB1DA9">
        <w:rPr>
          <w:rFonts w:cs="Arial"/>
          <w:sz w:val="18"/>
          <w:szCs w:val="18"/>
        </w:rPr>
        <w:t>= - projekt zůstal ve stejné kategorii</w:t>
      </w:r>
    </w:p>
  </w:footnote>
  <w:footnote w:id="2">
    <w:p w:rsidR="00B13780" w:rsidRDefault="00B13780">
      <w:pPr>
        <w:pStyle w:val="Textpoznpodarou"/>
        <w:rPr>
          <w:sz w:val="18"/>
        </w:rPr>
      </w:pPr>
      <w:r w:rsidRPr="00914075">
        <w:rPr>
          <w:rStyle w:val="Znakapoznpodarou"/>
          <w:sz w:val="18"/>
        </w:rPr>
        <w:footnoteRef/>
      </w:r>
      <w:r w:rsidRPr="00914075">
        <w:rPr>
          <w:sz w:val="18"/>
        </w:rPr>
        <w:t xml:space="preserve"> Sledováno od r. 2012</w:t>
      </w:r>
    </w:p>
    <w:p w:rsidR="00B13780" w:rsidRPr="00EB1DA9" w:rsidRDefault="00B13780" w:rsidP="009354A8">
      <w:pPr>
        <w:pStyle w:val="Textpoznpodarou"/>
        <w:rPr>
          <w:rFonts w:cs="Arial"/>
          <w:color w:val="FF0000"/>
          <w:sz w:val="18"/>
          <w:szCs w:val="18"/>
        </w:rPr>
      </w:pPr>
      <w:r w:rsidRPr="00EB1DA9">
        <w:rPr>
          <w:rFonts w:cs="Arial"/>
          <w:color w:val="FF0000"/>
          <w:sz w:val="18"/>
          <w:szCs w:val="18"/>
        </w:rPr>
        <w:t>↑ - projekt se posunul z rizikového do vysoce rizikového</w:t>
      </w:r>
    </w:p>
    <w:p w:rsidR="00B13780" w:rsidRDefault="00B13780" w:rsidP="009354A8">
      <w:pPr>
        <w:pStyle w:val="Textpoznpodarou"/>
        <w:rPr>
          <w:rFonts w:cs="Arial"/>
          <w:color w:val="00B050"/>
          <w:sz w:val="18"/>
          <w:szCs w:val="18"/>
        </w:rPr>
      </w:pPr>
      <w:r w:rsidRPr="00EB1DA9">
        <w:rPr>
          <w:rFonts w:cs="Arial"/>
          <w:color w:val="00B050"/>
          <w:sz w:val="18"/>
          <w:szCs w:val="18"/>
        </w:rPr>
        <w:t xml:space="preserve">↓ - projekt se posunul </w:t>
      </w:r>
      <w:r>
        <w:rPr>
          <w:rFonts w:cs="Arial"/>
          <w:color w:val="00B050"/>
          <w:sz w:val="18"/>
          <w:szCs w:val="18"/>
        </w:rPr>
        <w:t>ze spícího do vysoce rizikového,</w:t>
      </w:r>
      <w:r w:rsidRPr="00EB1DA9">
        <w:rPr>
          <w:rFonts w:cs="Arial"/>
          <w:color w:val="00B050"/>
          <w:sz w:val="18"/>
          <w:szCs w:val="18"/>
        </w:rPr>
        <w:t xml:space="preserve"> </w:t>
      </w:r>
      <w:r>
        <w:rPr>
          <w:rFonts w:cs="Arial"/>
          <w:color w:val="00B050"/>
          <w:sz w:val="18"/>
          <w:szCs w:val="18"/>
        </w:rPr>
        <w:t xml:space="preserve">nebo </w:t>
      </w:r>
      <w:r w:rsidRPr="00EB1DA9">
        <w:rPr>
          <w:rFonts w:cs="Arial"/>
          <w:color w:val="00B050"/>
          <w:sz w:val="18"/>
          <w:szCs w:val="18"/>
        </w:rPr>
        <w:t>z vysoce rizikového do rizikového</w:t>
      </w:r>
      <w:r>
        <w:rPr>
          <w:rFonts w:cs="Arial"/>
          <w:color w:val="00B050"/>
          <w:sz w:val="18"/>
          <w:szCs w:val="18"/>
        </w:rPr>
        <w:t xml:space="preserve"> </w:t>
      </w:r>
    </w:p>
    <w:p w:rsidR="00B13780" w:rsidRDefault="00B13780" w:rsidP="009354A8">
      <w:pPr>
        <w:pStyle w:val="Textpoznpodarou"/>
      </w:pPr>
      <w:r w:rsidRPr="00EB1DA9">
        <w:rPr>
          <w:rFonts w:cs="Arial"/>
          <w:sz w:val="18"/>
          <w:szCs w:val="18"/>
        </w:rPr>
        <w:t>= - projekt zůstal ve stejné kategorii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80" w:rsidRDefault="00B13780">
    <w:pPr>
      <w:pStyle w:val="Zhlav"/>
    </w:pPr>
    <w:r w:rsidRPr="00AD4045">
      <w:rPr>
        <w:noProof/>
      </w:rPr>
      <w:drawing>
        <wp:anchor distT="0" distB="0" distL="114300" distR="114300" simplePos="0" relativeHeight="251658240" behindDoc="1" locked="0" layoutInCell="1" allowOverlap="1" wp14:anchorId="1E1537EE" wp14:editId="2F0F76D6">
          <wp:simplePos x="0" y="0"/>
          <wp:positionH relativeFrom="margin">
            <wp:align>center</wp:align>
          </wp:positionH>
          <wp:positionV relativeFrom="paragraph">
            <wp:posOffset>2540</wp:posOffset>
          </wp:positionV>
          <wp:extent cx="5760720" cy="411480"/>
          <wp:effectExtent l="0" t="0" r="0" b="7620"/>
          <wp:wrapTight wrapText="bothSides">
            <wp:wrapPolygon edited="0">
              <wp:start x="0" y="0"/>
              <wp:lineTo x="0" y="21000"/>
              <wp:lineTo x="21500" y="21000"/>
              <wp:lineTo x="21500" y="0"/>
              <wp:lineTo x="0" y="0"/>
            </wp:wrapPolygon>
          </wp:wrapTight>
          <wp:docPr id="1" name="Obrázek 0" descr="Logolinka_vsech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a_vsech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1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6C2"/>
    <w:multiLevelType w:val="hybridMultilevel"/>
    <w:tmpl w:val="67A24C3C"/>
    <w:lvl w:ilvl="0" w:tplc="F64081F0">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033628"/>
    <w:multiLevelType w:val="hybridMultilevel"/>
    <w:tmpl w:val="BAB43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30042B"/>
    <w:multiLevelType w:val="hybridMultilevel"/>
    <w:tmpl w:val="26587EF2"/>
    <w:lvl w:ilvl="0" w:tplc="065420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A7A2A8A"/>
    <w:multiLevelType w:val="hybridMultilevel"/>
    <w:tmpl w:val="C8840A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9E2A3C"/>
    <w:multiLevelType w:val="hybridMultilevel"/>
    <w:tmpl w:val="91F622AE"/>
    <w:lvl w:ilvl="0" w:tplc="8C6685D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EF5C33"/>
    <w:multiLevelType w:val="multilevel"/>
    <w:tmpl w:val="CAB0607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8AB3370"/>
    <w:multiLevelType w:val="hybridMultilevel"/>
    <w:tmpl w:val="230E3D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2"/>
    <w:rsid w:val="00002BBD"/>
    <w:rsid w:val="000030CC"/>
    <w:rsid w:val="00005623"/>
    <w:rsid w:val="00005A49"/>
    <w:rsid w:val="0001294A"/>
    <w:rsid w:val="00012F04"/>
    <w:rsid w:val="000159FF"/>
    <w:rsid w:val="00020567"/>
    <w:rsid w:val="000207F1"/>
    <w:rsid w:val="00021E82"/>
    <w:rsid w:val="000221BB"/>
    <w:rsid w:val="00026BE8"/>
    <w:rsid w:val="000309EA"/>
    <w:rsid w:val="00030C1A"/>
    <w:rsid w:val="00030D29"/>
    <w:rsid w:val="00035661"/>
    <w:rsid w:val="0003569A"/>
    <w:rsid w:val="000406E7"/>
    <w:rsid w:val="0004181A"/>
    <w:rsid w:val="00041F7B"/>
    <w:rsid w:val="0004349C"/>
    <w:rsid w:val="00044330"/>
    <w:rsid w:val="000474BA"/>
    <w:rsid w:val="00047508"/>
    <w:rsid w:val="000525B1"/>
    <w:rsid w:val="00053027"/>
    <w:rsid w:val="00054F24"/>
    <w:rsid w:val="000565A4"/>
    <w:rsid w:val="000571EB"/>
    <w:rsid w:val="000578B9"/>
    <w:rsid w:val="00057D97"/>
    <w:rsid w:val="000632FC"/>
    <w:rsid w:val="000651F4"/>
    <w:rsid w:val="00067B0A"/>
    <w:rsid w:val="00067E4C"/>
    <w:rsid w:val="00073C12"/>
    <w:rsid w:val="00076BEB"/>
    <w:rsid w:val="0008275B"/>
    <w:rsid w:val="000838CB"/>
    <w:rsid w:val="00083C53"/>
    <w:rsid w:val="00084532"/>
    <w:rsid w:val="00085A30"/>
    <w:rsid w:val="00086D21"/>
    <w:rsid w:val="00092613"/>
    <w:rsid w:val="00092C29"/>
    <w:rsid w:val="00093075"/>
    <w:rsid w:val="0009741A"/>
    <w:rsid w:val="00097478"/>
    <w:rsid w:val="00097D4C"/>
    <w:rsid w:val="000A107B"/>
    <w:rsid w:val="000A3B7C"/>
    <w:rsid w:val="000B0263"/>
    <w:rsid w:val="000B0EB7"/>
    <w:rsid w:val="000B2B52"/>
    <w:rsid w:val="000B5198"/>
    <w:rsid w:val="000B6033"/>
    <w:rsid w:val="000B66E6"/>
    <w:rsid w:val="000B6A73"/>
    <w:rsid w:val="000B7019"/>
    <w:rsid w:val="000B70D7"/>
    <w:rsid w:val="000B7DA3"/>
    <w:rsid w:val="000C0A9F"/>
    <w:rsid w:val="000C1AA7"/>
    <w:rsid w:val="000C23EC"/>
    <w:rsid w:val="000C2885"/>
    <w:rsid w:val="000C43D4"/>
    <w:rsid w:val="000C64F4"/>
    <w:rsid w:val="000C79A7"/>
    <w:rsid w:val="000D0D3B"/>
    <w:rsid w:val="000D13B7"/>
    <w:rsid w:val="000D264D"/>
    <w:rsid w:val="000D56A4"/>
    <w:rsid w:val="000E12F7"/>
    <w:rsid w:val="000E16CE"/>
    <w:rsid w:val="000E2238"/>
    <w:rsid w:val="000E73B5"/>
    <w:rsid w:val="000E74AB"/>
    <w:rsid w:val="000F0DFC"/>
    <w:rsid w:val="000F225B"/>
    <w:rsid w:val="000F23CD"/>
    <w:rsid w:val="000F2B21"/>
    <w:rsid w:val="000F2F2D"/>
    <w:rsid w:val="000F4C4A"/>
    <w:rsid w:val="001006D1"/>
    <w:rsid w:val="001014F3"/>
    <w:rsid w:val="001026F3"/>
    <w:rsid w:val="0010312F"/>
    <w:rsid w:val="00104CE1"/>
    <w:rsid w:val="00105AA8"/>
    <w:rsid w:val="00105E62"/>
    <w:rsid w:val="00106B5A"/>
    <w:rsid w:val="00106FCA"/>
    <w:rsid w:val="00111D78"/>
    <w:rsid w:val="001157BD"/>
    <w:rsid w:val="00116FD0"/>
    <w:rsid w:val="0012010A"/>
    <w:rsid w:val="001208A5"/>
    <w:rsid w:val="00120FB9"/>
    <w:rsid w:val="001221CB"/>
    <w:rsid w:val="0012220F"/>
    <w:rsid w:val="00124BBF"/>
    <w:rsid w:val="00126981"/>
    <w:rsid w:val="00126D7F"/>
    <w:rsid w:val="00127726"/>
    <w:rsid w:val="0012786A"/>
    <w:rsid w:val="001304D7"/>
    <w:rsid w:val="00130AAC"/>
    <w:rsid w:val="00131841"/>
    <w:rsid w:val="00131BF9"/>
    <w:rsid w:val="00140AC4"/>
    <w:rsid w:val="00140D1E"/>
    <w:rsid w:val="00141D3F"/>
    <w:rsid w:val="00146648"/>
    <w:rsid w:val="0014798D"/>
    <w:rsid w:val="00147CD5"/>
    <w:rsid w:val="00150B42"/>
    <w:rsid w:val="001555CE"/>
    <w:rsid w:val="00156C8A"/>
    <w:rsid w:val="00156E11"/>
    <w:rsid w:val="00162AB2"/>
    <w:rsid w:val="0016365D"/>
    <w:rsid w:val="00166859"/>
    <w:rsid w:val="00166D18"/>
    <w:rsid w:val="00167083"/>
    <w:rsid w:val="001703DF"/>
    <w:rsid w:val="00170B3C"/>
    <w:rsid w:val="00171C17"/>
    <w:rsid w:val="00172364"/>
    <w:rsid w:val="00173C12"/>
    <w:rsid w:val="00174CAD"/>
    <w:rsid w:val="00174DE9"/>
    <w:rsid w:val="001756DB"/>
    <w:rsid w:val="001774FF"/>
    <w:rsid w:val="0018169A"/>
    <w:rsid w:val="001821B7"/>
    <w:rsid w:val="00183E8B"/>
    <w:rsid w:val="001865A7"/>
    <w:rsid w:val="00186E6B"/>
    <w:rsid w:val="00187C2E"/>
    <w:rsid w:val="00193466"/>
    <w:rsid w:val="00196032"/>
    <w:rsid w:val="001A31D2"/>
    <w:rsid w:val="001A48C7"/>
    <w:rsid w:val="001A7201"/>
    <w:rsid w:val="001B0B4D"/>
    <w:rsid w:val="001B0E1C"/>
    <w:rsid w:val="001B1318"/>
    <w:rsid w:val="001B47CC"/>
    <w:rsid w:val="001B7C91"/>
    <w:rsid w:val="001C038B"/>
    <w:rsid w:val="001C4245"/>
    <w:rsid w:val="001C49CD"/>
    <w:rsid w:val="001C4C2F"/>
    <w:rsid w:val="001C5F09"/>
    <w:rsid w:val="001C7D44"/>
    <w:rsid w:val="001D04F1"/>
    <w:rsid w:val="001D0B53"/>
    <w:rsid w:val="001D0D55"/>
    <w:rsid w:val="001D2D85"/>
    <w:rsid w:val="001D3EA5"/>
    <w:rsid w:val="001D406B"/>
    <w:rsid w:val="001D4455"/>
    <w:rsid w:val="001E1E76"/>
    <w:rsid w:val="001E4119"/>
    <w:rsid w:val="001E4D2A"/>
    <w:rsid w:val="001E4DF5"/>
    <w:rsid w:val="001E4EC2"/>
    <w:rsid w:val="001E59C8"/>
    <w:rsid w:val="001E7B5C"/>
    <w:rsid w:val="001F58D6"/>
    <w:rsid w:val="001F674F"/>
    <w:rsid w:val="002003B3"/>
    <w:rsid w:val="0020112A"/>
    <w:rsid w:val="0020406B"/>
    <w:rsid w:val="0020453B"/>
    <w:rsid w:val="00204CB5"/>
    <w:rsid w:val="00205376"/>
    <w:rsid w:val="00206592"/>
    <w:rsid w:val="00206C1F"/>
    <w:rsid w:val="0021278B"/>
    <w:rsid w:val="00214059"/>
    <w:rsid w:val="00214288"/>
    <w:rsid w:val="00214E9B"/>
    <w:rsid w:val="00222BA4"/>
    <w:rsid w:val="00226774"/>
    <w:rsid w:val="002270BF"/>
    <w:rsid w:val="00230014"/>
    <w:rsid w:val="002301FC"/>
    <w:rsid w:val="00230905"/>
    <w:rsid w:val="00232FAE"/>
    <w:rsid w:val="002342BE"/>
    <w:rsid w:val="00236AEC"/>
    <w:rsid w:val="00236E66"/>
    <w:rsid w:val="00246AE4"/>
    <w:rsid w:val="002473DD"/>
    <w:rsid w:val="00247A47"/>
    <w:rsid w:val="00247E87"/>
    <w:rsid w:val="00251887"/>
    <w:rsid w:val="00252871"/>
    <w:rsid w:val="00253148"/>
    <w:rsid w:val="00257C21"/>
    <w:rsid w:val="002623B0"/>
    <w:rsid w:val="002623D1"/>
    <w:rsid w:val="002627E3"/>
    <w:rsid w:val="00263169"/>
    <w:rsid w:val="002751D0"/>
    <w:rsid w:val="00277A9C"/>
    <w:rsid w:val="002822AC"/>
    <w:rsid w:val="00282889"/>
    <w:rsid w:val="002836EA"/>
    <w:rsid w:val="002840AD"/>
    <w:rsid w:val="00285D92"/>
    <w:rsid w:val="00286966"/>
    <w:rsid w:val="00286D30"/>
    <w:rsid w:val="002900F5"/>
    <w:rsid w:val="00290885"/>
    <w:rsid w:val="002930C4"/>
    <w:rsid w:val="00295329"/>
    <w:rsid w:val="00296FFE"/>
    <w:rsid w:val="0029732B"/>
    <w:rsid w:val="002A475E"/>
    <w:rsid w:val="002A544B"/>
    <w:rsid w:val="002A555E"/>
    <w:rsid w:val="002A5895"/>
    <w:rsid w:val="002B398F"/>
    <w:rsid w:val="002B3B09"/>
    <w:rsid w:val="002B72A9"/>
    <w:rsid w:val="002C0FB9"/>
    <w:rsid w:val="002C31F9"/>
    <w:rsid w:val="002C3436"/>
    <w:rsid w:val="002C7F74"/>
    <w:rsid w:val="002D09A3"/>
    <w:rsid w:val="002D12F3"/>
    <w:rsid w:val="002D186D"/>
    <w:rsid w:val="002D2E27"/>
    <w:rsid w:val="002D49C1"/>
    <w:rsid w:val="002D4FEE"/>
    <w:rsid w:val="002D7BB3"/>
    <w:rsid w:val="002E1059"/>
    <w:rsid w:val="002E20B9"/>
    <w:rsid w:val="002E2330"/>
    <w:rsid w:val="002E44C1"/>
    <w:rsid w:val="002E474E"/>
    <w:rsid w:val="002E4F7C"/>
    <w:rsid w:val="002E6287"/>
    <w:rsid w:val="002E686C"/>
    <w:rsid w:val="002F0703"/>
    <w:rsid w:val="002F2732"/>
    <w:rsid w:val="002F2B23"/>
    <w:rsid w:val="002F4594"/>
    <w:rsid w:val="002F6789"/>
    <w:rsid w:val="002F685F"/>
    <w:rsid w:val="002F6D74"/>
    <w:rsid w:val="003004B2"/>
    <w:rsid w:val="003005B2"/>
    <w:rsid w:val="003017C3"/>
    <w:rsid w:val="00304139"/>
    <w:rsid w:val="00304E20"/>
    <w:rsid w:val="00305F4C"/>
    <w:rsid w:val="00306066"/>
    <w:rsid w:val="003073F1"/>
    <w:rsid w:val="0031329A"/>
    <w:rsid w:val="003170FB"/>
    <w:rsid w:val="003172F6"/>
    <w:rsid w:val="003176B7"/>
    <w:rsid w:val="00322525"/>
    <w:rsid w:val="003225D4"/>
    <w:rsid w:val="00322826"/>
    <w:rsid w:val="00323590"/>
    <w:rsid w:val="00325600"/>
    <w:rsid w:val="00327880"/>
    <w:rsid w:val="00334EBF"/>
    <w:rsid w:val="00335004"/>
    <w:rsid w:val="0034138B"/>
    <w:rsid w:val="00343D3D"/>
    <w:rsid w:val="003503B7"/>
    <w:rsid w:val="00351B6C"/>
    <w:rsid w:val="00353665"/>
    <w:rsid w:val="00354EC5"/>
    <w:rsid w:val="0035580D"/>
    <w:rsid w:val="00361997"/>
    <w:rsid w:val="00361E73"/>
    <w:rsid w:val="00362310"/>
    <w:rsid w:val="00365003"/>
    <w:rsid w:val="003658D6"/>
    <w:rsid w:val="0036698B"/>
    <w:rsid w:val="0036796C"/>
    <w:rsid w:val="0037061F"/>
    <w:rsid w:val="003707F5"/>
    <w:rsid w:val="003735DC"/>
    <w:rsid w:val="00377B37"/>
    <w:rsid w:val="00383A60"/>
    <w:rsid w:val="00383C12"/>
    <w:rsid w:val="003859F1"/>
    <w:rsid w:val="00390BE2"/>
    <w:rsid w:val="003915C7"/>
    <w:rsid w:val="00391BDA"/>
    <w:rsid w:val="00393814"/>
    <w:rsid w:val="0039667E"/>
    <w:rsid w:val="003969DF"/>
    <w:rsid w:val="003A05F3"/>
    <w:rsid w:val="003A0642"/>
    <w:rsid w:val="003A4BCD"/>
    <w:rsid w:val="003A6070"/>
    <w:rsid w:val="003A6166"/>
    <w:rsid w:val="003A6D21"/>
    <w:rsid w:val="003A7B3A"/>
    <w:rsid w:val="003B1E3D"/>
    <w:rsid w:val="003B241D"/>
    <w:rsid w:val="003B2994"/>
    <w:rsid w:val="003B3652"/>
    <w:rsid w:val="003B4D4F"/>
    <w:rsid w:val="003B714B"/>
    <w:rsid w:val="003C0B30"/>
    <w:rsid w:val="003C183C"/>
    <w:rsid w:val="003C2AA9"/>
    <w:rsid w:val="003C2DF3"/>
    <w:rsid w:val="003C31F7"/>
    <w:rsid w:val="003C454A"/>
    <w:rsid w:val="003D07CB"/>
    <w:rsid w:val="003D3CDC"/>
    <w:rsid w:val="003D5F03"/>
    <w:rsid w:val="003D70FD"/>
    <w:rsid w:val="003D7FD2"/>
    <w:rsid w:val="003E163A"/>
    <w:rsid w:val="003E25B9"/>
    <w:rsid w:val="003E429E"/>
    <w:rsid w:val="003E5147"/>
    <w:rsid w:val="003E5CD7"/>
    <w:rsid w:val="003E7E25"/>
    <w:rsid w:val="003F0DFA"/>
    <w:rsid w:val="003F250D"/>
    <w:rsid w:val="00400EA4"/>
    <w:rsid w:val="0040118D"/>
    <w:rsid w:val="00402CEA"/>
    <w:rsid w:val="00402EEB"/>
    <w:rsid w:val="00404FB0"/>
    <w:rsid w:val="004108E1"/>
    <w:rsid w:val="00412CCC"/>
    <w:rsid w:val="004131CD"/>
    <w:rsid w:val="004148CA"/>
    <w:rsid w:val="00415D8A"/>
    <w:rsid w:val="004202F8"/>
    <w:rsid w:val="00420832"/>
    <w:rsid w:val="00421371"/>
    <w:rsid w:val="00424490"/>
    <w:rsid w:val="00425165"/>
    <w:rsid w:val="0043479A"/>
    <w:rsid w:val="0043560C"/>
    <w:rsid w:val="00435B6B"/>
    <w:rsid w:val="00437C92"/>
    <w:rsid w:val="0044483C"/>
    <w:rsid w:val="00445068"/>
    <w:rsid w:val="00451553"/>
    <w:rsid w:val="004517ED"/>
    <w:rsid w:val="00452B79"/>
    <w:rsid w:val="00452E72"/>
    <w:rsid w:val="00453142"/>
    <w:rsid w:val="0045513D"/>
    <w:rsid w:val="004570B1"/>
    <w:rsid w:val="004631B2"/>
    <w:rsid w:val="00463741"/>
    <w:rsid w:val="00465043"/>
    <w:rsid w:val="004708D2"/>
    <w:rsid w:val="0047142B"/>
    <w:rsid w:val="00471AC8"/>
    <w:rsid w:val="00472FD7"/>
    <w:rsid w:val="00476B90"/>
    <w:rsid w:val="00476E9D"/>
    <w:rsid w:val="00477AF9"/>
    <w:rsid w:val="00480282"/>
    <w:rsid w:val="004806A1"/>
    <w:rsid w:val="0048131F"/>
    <w:rsid w:val="004823C9"/>
    <w:rsid w:val="004842E5"/>
    <w:rsid w:val="004869EA"/>
    <w:rsid w:val="00487B59"/>
    <w:rsid w:val="00487EE3"/>
    <w:rsid w:val="00490A26"/>
    <w:rsid w:val="00494EC5"/>
    <w:rsid w:val="0049604B"/>
    <w:rsid w:val="00497167"/>
    <w:rsid w:val="004A0EDF"/>
    <w:rsid w:val="004A1ABE"/>
    <w:rsid w:val="004A1B9E"/>
    <w:rsid w:val="004A1D17"/>
    <w:rsid w:val="004A1F1E"/>
    <w:rsid w:val="004A2BC4"/>
    <w:rsid w:val="004A4A8F"/>
    <w:rsid w:val="004A555B"/>
    <w:rsid w:val="004A58F0"/>
    <w:rsid w:val="004A70C0"/>
    <w:rsid w:val="004A734A"/>
    <w:rsid w:val="004A773A"/>
    <w:rsid w:val="004B10FC"/>
    <w:rsid w:val="004B28CF"/>
    <w:rsid w:val="004B2FCB"/>
    <w:rsid w:val="004B6EA6"/>
    <w:rsid w:val="004C3DCE"/>
    <w:rsid w:val="004C58D3"/>
    <w:rsid w:val="004D33FB"/>
    <w:rsid w:val="004D4D20"/>
    <w:rsid w:val="004E0190"/>
    <w:rsid w:val="004E1925"/>
    <w:rsid w:val="004E1AED"/>
    <w:rsid w:val="004E54E1"/>
    <w:rsid w:val="004F0D02"/>
    <w:rsid w:val="004F37F0"/>
    <w:rsid w:val="004F4C35"/>
    <w:rsid w:val="00500870"/>
    <w:rsid w:val="00501097"/>
    <w:rsid w:val="00503EB8"/>
    <w:rsid w:val="00506AB7"/>
    <w:rsid w:val="00507207"/>
    <w:rsid w:val="005075A8"/>
    <w:rsid w:val="00511A47"/>
    <w:rsid w:val="00512A4E"/>
    <w:rsid w:val="00512B41"/>
    <w:rsid w:val="00513A01"/>
    <w:rsid w:val="00513C72"/>
    <w:rsid w:val="00514A45"/>
    <w:rsid w:val="00516936"/>
    <w:rsid w:val="00520A08"/>
    <w:rsid w:val="005244D5"/>
    <w:rsid w:val="005246D0"/>
    <w:rsid w:val="00536791"/>
    <w:rsid w:val="0054224C"/>
    <w:rsid w:val="00545BCE"/>
    <w:rsid w:val="00546333"/>
    <w:rsid w:val="0054707F"/>
    <w:rsid w:val="005500F8"/>
    <w:rsid w:val="00551D29"/>
    <w:rsid w:val="00553F3A"/>
    <w:rsid w:val="005544EC"/>
    <w:rsid w:val="0056180C"/>
    <w:rsid w:val="00562C04"/>
    <w:rsid w:val="00563920"/>
    <w:rsid w:val="00564A79"/>
    <w:rsid w:val="0056543C"/>
    <w:rsid w:val="00571AF1"/>
    <w:rsid w:val="00575583"/>
    <w:rsid w:val="00580C0F"/>
    <w:rsid w:val="00580CAA"/>
    <w:rsid w:val="005812E1"/>
    <w:rsid w:val="005812E2"/>
    <w:rsid w:val="0058439F"/>
    <w:rsid w:val="0058651C"/>
    <w:rsid w:val="00591B04"/>
    <w:rsid w:val="005935BA"/>
    <w:rsid w:val="00594068"/>
    <w:rsid w:val="00594492"/>
    <w:rsid w:val="0059527A"/>
    <w:rsid w:val="00597A00"/>
    <w:rsid w:val="00597D78"/>
    <w:rsid w:val="005A0CE8"/>
    <w:rsid w:val="005A1BD9"/>
    <w:rsid w:val="005A4991"/>
    <w:rsid w:val="005B077E"/>
    <w:rsid w:val="005B1EE8"/>
    <w:rsid w:val="005B441D"/>
    <w:rsid w:val="005B6CA0"/>
    <w:rsid w:val="005B7631"/>
    <w:rsid w:val="005C05A2"/>
    <w:rsid w:val="005C08D5"/>
    <w:rsid w:val="005C2509"/>
    <w:rsid w:val="005D1030"/>
    <w:rsid w:val="005D13D5"/>
    <w:rsid w:val="005D50C0"/>
    <w:rsid w:val="005D6B9D"/>
    <w:rsid w:val="005D6FC9"/>
    <w:rsid w:val="005D79FC"/>
    <w:rsid w:val="005E1956"/>
    <w:rsid w:val="005E1A27"/>
    <w:rsid w:val="005E1CE8"/>
    <w:rsid w:val="005E47DB"/>
    <w:rsid w:val="005E6BDF"/>
    <w:rsid w:val="005F350B"/>
    <w:rsid w:val="005F3B0F"/>
    <w:rsid w:val="00601D25"/>
    <w:rsid w:val="0060235F"/>
    <w:rsid w:val="00603717"/>
    <w:rsid w:val="0060613E"/>
    <w:rsid w:val="00606288"/>
    <w:rsid w:val="0061447F"/>
    <w:rsid w:val="0061656A"/>
    <w:rsid w:val="00616620"/>
    <w:rsid w:val="00617065"/>
    <w:rsid w:val="0062123C"/>
    <w:rsid w:val="00626872"/>
    <w:rsid w:val="006278AF"/>
    <w:rsid w:val="006278B9"/>
    <w:rsid w:val="00634EF6"/>
    <w:rsid w:val="00635818"/>
    <w:rsid w:val="00635EAA"/>
    <w:rsid w:val="006422A5"/>
    <w:rsid w:val="00644F88"/>
    <w:rsid w:val="00645285"/>
    <w:rsid w:val="006464BA"/>
    <w:rsid w:val="00647AF2"/>
    <w:rsid w:val="00651A1A"/>
    <w:rsid w:val="006566DD"/>
    <w:rsid w:val="0065671B"/>
    <w:rsid w:val="00656DAD"/>
    <w:rsid w:val="006640B3"/>
    <w:rsid w:val="00666E18"/>
    <w:rsid w:val="00667595"/>
    <w:rsid w:val="006704C4"/>
    <w:rsid w:val="00670CAB"/>
    <w:rsid w:val="00671CDF"/>
    <w:rsid w:val="00671D49"/>
    <w:rsid w:val="00672784"/>
    <w:rsid w:val="00675063"/>
    <w:rsid w:val="00675EE2"/>
    <w:rsid w:val="00676B11"/>
    <w:rsid w:val="006820FD"/>
    <w:rsid w:val="00685E44"/>
    <w:rsid w:val="00686F54"/>
    <w:rsid w:val="00692AF1"/>
    <w:rsid w:val="00692C6E"/>
    <w:rsid w:val="00697321"/>
    <w:rsid w:val="0069779C"/>
    <w:rsid w:val="006A091D"/>
    <w:rsid w:val="006A1B50"/>
    <w:rsid w:val="006A1C10"/>
    <w:rsid w:val="006A3F1D"/>
    <w:rsid w:val="006A4216"/>
    <w:rsid w:val="006A62AB"/>
    <w:rsid w:val="006B0A61"/>
    <w:rsid w:val="006B346A"/>
    <w:rsid w:val="006B3495"/>
    <w:rsid w:val="006B37DB"/>
    <w:rsid w:val="006B5426"/>
    <w:rsid w:val="006B795D"/>
    <w:rsid w:val="006B7B94"/>
    <w:rsid w:val="006C0D73"/>
    <w:rsid w:val="006C3E9F"/>
    <w:rsid w:val="006D1520"/>
    <w:rsid w:val="006D2132"/>
    <w:rsid w:val="006D228F"/>
    <w:rsid w:val="006D3A9B"/>
    <w:rsid w:val="006D3BFF"/>
    <w:rsid w:val="006D5600"/>
    <w:rsid w:val="006D5959"/>
    <w:rsid w:val="006D63D0"/>
    <w:rsid w:val="006D6469"/>
    <w:rsid w:val="006D7F40"/>
    <w:rsid w:val="006E1279"/>
    <w:rsid w:val="006E2FF8"/>
    <w:rsid w:val="006E6957"/>
    <w:rsid w:val="006F424D"/>
    <w:rsid w:val="006F4268"/>
    <w:rsid w:val="006F5299"/>
    <w:rsid w:val="006F600C"/>
    <w:rsid w:val="00701F4A"/>
    <w:rsid w:val="00702C8E"/>
    <w:rsid w:val="007035D6"/>
    <w:rsid w:val="00703CAA"/>
    <w:rsid w:val="00704741"/>
    <w:rsid w:val="007054B7"/>
    <w:rsid w:val="007058B6"/>
    <w:rsid w:val="00706718"/>
    <w:rsid w:val="007133B8"/>
    <w:rsid w:val="00713809"/>
    <w:rsid w:val="007148D8"/>
    <w:rsid w:val="00714EF5"/>
    <w:rsid w:val="00715708"/>
    <w:rsid w:val="00720862"/>
    <w:rsid w:val="00721031"/>
    <w:rsid w:val="00721F72"/>
    <w:rsid w:val="007239A8"/>
    <w:rsid w:val="007255C7"/>
    <w:rsid w:val="007307E1"/>
    <w:rsid w:val="00730E2B"/>
    <w:rsid w:val="007314C7"/>
    <w:rsid w:val="00733378"/>
    <w:rsid w:val="00733709"/>
    <w:rsid w:val="00734FEF"/>
    <w:rsid w:val="0073521B"/>
    <w:rsid w:val="00735C0E"/>
    <w:rsid w:val="00736E6D"/>
    <w:rsid w:val="0073707E"/>
    <w:rsid w:val="00740A9B"/>
    <w:rsid w:val="00740AFB"/>
    <w:rsid w:val="007410D7"/>
    <w:rsid w:val="00743E35"/>
    <w:rsid w:val="00745306"/>
    <w:rsid w:val="007465CF"/>
    <w:rsid w:val="00747C1B"/>
    <w:rsid w:val="00750543"/>
    <w:rsid w:val="00752DBC"/>
    <w:rsid w:val="00753759"/>
    <w:rsid w:val="00754928"/>
    <w:rsid w:val="00755390"/>
    <w:rsid w:val="007560CB"/>
    <w:rsid w:val="00757414"/>
    <w:rsid w:val="007605FE"/>
    <w:rsid w:val="00760C71"/>
    <w:rsid w:val="0076144B"/>
    <w:rsid w:val="0076222D"/>
    <w:rsid w:val="0076378E"/>
    <w:rsid w:val="007650FF"/>
    <w:rsid w:val="00770E9F"/>
    <w:rsid w:val="00772C24"/>
    <w:rsid w:val="00774582"/>
    <w:rsid w:val="00774E22"/>
    <w:rsid w:val="00775B9E"/>
    <w:rsid w:val="00777064"/>
    <w:rsid w:val="00777368"/>
    <w:rsid w:val="00777846"/>
    <w:rsid w:val="00781F28"/>
    <w:rsid w:val="00790EEE"/>
    <w:rsid w:val="007918CD"/>
    <w:rsid w:val="00791B83"/>
    <w:rsid w:val="00793640"/>
    <w:rsid w:val="00793AC0"/>
    <w:rsid w:val="00797320"/>
    <w:rsid w:val="007A0F43"/>
    <w:rsid w:val="007A41D7"/>
    <w:rsid w:val="007A4A8E"/>
    <w:rsid w:val="007A4F5A"/>
    <w:rsid w:val="007A5694"/>
    <w:rsid w:val="007A7087"/>
    <w:rsid w:val="007A7D06"/>
    <w:rsid w:val="007B3D1F"/>
    <w:rsid w:val="007B4A0F"/>
    <w:rsid w:val="007B4C2B"/>
    <w:rsid w:val="007B76AB"/>
    <w:rsid w:val="007C33A9"/>
    <w:rsid w:val="007C7A4D"/>
    <w:rsid w:val="007D3B17"/>
    <w:rsid w:val="007D4D51"/>
    <w:rsid w:val="007D51BE"/>
    <w:rsid w:val="007D6180"/>
    <w:rsid w:val="007D76DB"/>
    <w:rsid w:val="007E0EBC"/>
    <w:rsid w:val="007E1599"/>
    <w:rsid w:val="007E1756"/>
    <w:rsid w:val="007E27EF"/>
    <w:rsid w:val="007E7C1F"/>
    <w:rsid w:val="007F01D4"/>
    <w:rsid w:val="007F081D"/>
    <w:rsid w:val="007F1C64"/>
    <w:rsid w:val="007F4C43"/>
    <w:rsid w:val="007F5788"/>
    <w:rsid w:val="007F6152"/>
    <w:rsid w:val="007F68C9"/>
    <w:rsid w:val="00800296"/>
    <w:rsid w:val="00803654"/>
    <w:rsid w:val="008076C4"/>
    <w:rsid w:val="0081502F"/>
    <w:rsid w:val="008153BA"/>
    <w:rsid w:val="0081733C"/>
    <w:rsid w:val="00817696"/>
    <w:rsid w:val="00822C25"/>
    <w:rsid w:val="0082529F"/>
    <w:rsid w:val="00825F82"/>
    <w:rsid w:val="008266B3"/>
    <w:rsid w:val="00832490"/>
    <w:rsid w:val="0083318D"/>
    <w:rsid w:val="00833A65"/>
    <w:rsid w:val="00836421"/>
    <w:rsid w:val="00837D36"/>
    <w:rsid w:val="00840595"/>
    <w:rsid w:val="00840820"/>
    <w:rsid w:val="00842444"/>
    <w:rsid w:val="00842E22"/>
    <w:rsid w:val="008453BB"/>
    <w:rsid w:val="00847E32"/>
    <w:rsid w:val="00850960"/>
    <w:rsid w:val="00851B77"/>
    <w:rsid w:val="00852D7C"/>
    <w:rsid w:val="00856248"/>
    <w:rsid w:val="00856B70"/>
    <w:rsid w:val="0085727B"/>
    <w:rsid w:val="008607DD"/>
    <w:rsid w:val="00862AC4"/>
    <w:rsid w:val="00863F40"/>
    <w:rsid w:val="00870E97"/>
    <w:rsid w:val="00871A28"/>
    <w:rsid w:val="00873100"/>
    <w:rsid w:val="0087527E"/>
    <w:rsid w:val="0088004E"/>
    <w:rsid w:val="00881466"/>
    <w:rsid w:val="00881D8B"/>
    <w:rsid w:val="00881E8B"/>
    <w:rsid w:val="00884960"/>
    <w:rsid w:val="008850EC"/>
    <w:rsid w:val="008868F6"/>
    <w:rsid w:val="0089034C"/>
    <w:rsid w:val="00890442"/>
    <w:rsid w:val="008908DE"/>
    <w:rsid w:val="008919A9"/>
    <w:rsid w:val="00893513"/>
    <w:rsid w:val="00895F1C"/>
    <w:rsid w:val="008962F6"/>
    <w:rsid w:val="00897B87"/>
    <w:rsid w:val="008A0C16"/>
    <w:rsid w:val="008A21D2"/>
    <w:rsid w:val="008A2B99"/>
    <w:rsid w:val="008B2450"/>
    <w:rsid w:val="008B2677"/>
    <w:rsid w:val="008B2D1D"/>
    <w:rsid w:val="008B3BC6"/>
    <w:rsid w:val="008B4DFA"/>
    <w:rsid w:val="008B4F68"/>
    <w:rsid w:val="008B5CCB"/>
    <w:rsid w:val="008C09CD"/>
    <w:rsid w:val="008C3A2C"/>
    <w:rsid w:val="008C3AF1"/>
    <w:rsid w:val="008C5B7E"/>
    <w:rsid w:val="008D31CD"/>
    <w:rsid w:val="008D589B"/>
    <w:rsid w:val="008E0F76"/>
    <w:rsid w:val="008E4698"/>
    <w:rsid w:val="008F0802"/>
    <w:rsid w:val="008F2788"/>
    <w:rsid w:val="008F6453"/>
    <w:rsid w:val="00900ACD"/>
    <w:rsid w:val="009014FA"/>
    <w:rsid w:val="009041E1"/>
    <w:rsid w:val="00904DF1"/>
    <w:rsid w:val="00912440"/>
    <w:rsid w:val="00913F72"/>
    <w:rsid w:val="00914075"/>
    <w:rsid w:val="009140F0"/>
    <w:rsid w:val="00916C06"/>
    <w:rsid w:val="00916E46"/>
    <w:rsid w:val="0092096E"/>
    <w:rsid w:val="009212D1"/>
    <w:rsid w:val="00921F70"/>
    <w:rsid w:val="00922566"/>
    <w:rsid w:val="00925F8C"/>
    <w:rsid w:val="0092671E"/>
    <w:rsid w:val="009268A9"/>
    <w:rsid w:val="00926E45"/>
    <w:rsid w:val="00927F37"/>
    <w:rsid w:val="00931C7D"/>
    <w:rsid w:val="009354A8"/>
    <w:rsid w:val="009373DF"/>
    <w:rsid w:val="00940466"/>
    <w:rsid w:val="009415E3"/>
    <w:rsid w:val="00946014"/>
    <w:rsid w:val="00953EF0"/>
    <w:rsid w:val="009543CE"/>
    <w:rsid w:val="00954EDA"/>
    <w:rsid w:val="0095598E"/>
    <w:rsid w:val="00964DC3"/>
    <w:rsid w:val="009653F4"/>
    <w:rsid w:val="0096718D"/>
    <w:rsid w:val="009673E4"/>
    <w:rsid w:val="00967717"/>
    <w:rsid w:val="00970DD6"/>
    <w:rsid w:val="009712D3"/>
    <w:rsid w:val="00972DD3"/>
    <w:rsid w:val="00973CEF"/>
    <w:rsid w:val="00974811"/>
    <w:rsid w:val="00975ACA"/>
    <w:rsid w:val="00975B07"/>
    <w:rsid w:val="00976EE0"/>
    <w:rsid w:val="009777C5"/>
    <w:rsid w:val="009825C3"/>
    <w:rsid w:val="00985A80"/>
    <w:rsid w:val="00985F6B"/>
    <w:rsid w:val="00986030"/>
    <w:rsid w:val="00986DD0"/>
    <w:rsid w:val="00987F8C"/>
    <w:rsid w:val="00990E3D"/>
    <w:rsid w:val="009917EF"/>
    <w:rsid w:val="00993610"/>
    <w:rsid w:val="0099554C"/>
    <w:rsid w:val="00996F5A"/>
    <w:rsid w:val="00997278"/>
    <w:rsid w:val="009976A2"/>
    <w:rsid w:val="00997A5D"/>
    <w:rsid w:val="009A042C"/>
    <w:rsid w:val="009B0CAA"/>
    <w:rsid w:val="009B23CC"/>
    <w:rsid w:val="009B23FC"/>
    <w:rsid w:val="009B3496"/>
    <w:rsid w:val="009B46A2"/>
    <w:rsid w:val="009C01AD"/>
    <w:rsid w:val="009C070B"/>
    <w:rsid w:val="009C07D0"/>
    <w:rsid w:val="009C3ECD"/>
    <w:rsid w:val="009C5EFD"/>
    <w:rsid w:val="009D1E12"/>
    <w:rsid w:val="009D3243"/>
    <w:rsid w:val="009D6BE5"/>
    <w:rsid w:val="009D75D4"/>
    <w:rsid w:val="009D78E3"/>
    <w:rsid w:val="009D7EDC"/>
    <w:rsid w:val="009E1FF8"/>
    <w:rsid w:val="009E3AAF"/>
    <w:rsid w:val="009E6B1C"/>
    <w:rsid w:val="009E798A"/>
    <w:rsid w:val="009F2C86"/>
    <w:rsid w:val="009F35DB"/>
    <w:rsid w:val="009F3E58"/>
    <w:rsid w:val="009F4CD9"/>
    <w:rsid w:val="009F798F"/>
    <w:rsid w:val="00A0150D"/>
    <w:rsid w:val="00A04016"/>
    <w:rsid w:val="00A04E90"/>
    <w:rsid w:val="00A055A3"/>
    <w:rsid w:val="00A07C5F"/>
    <w:rsid w:val="00A111D2"/>
    <w:rsid w:val="00A1150A"/>
    <w:rsid w:val="00A13D34"/>
    <w:rsid w:val="00A14513"/>
    <w:rsid w:val="00A148AA"/>
    <w:rsid w:val="00A154B6"/>
    <w:rsid w:val="00A15AAB"/>
    <w:rsid w:val="00A1604B"/>
    <w:rsid w:val="00A1629B"/>
    <w:rsid w:val="00A2050C"/>
    <w:rsid w:val="00A20C0B"/>
    <w:rsid w:val="00A20F00"/>
    <w:rsid w:val="00A21393"/>
    <w:rsid w:val="00A22FD1"/>
    <w:rsid w:val="00A246ED"/>
    <w:rsid w:val="00A3216E"/>
    <w:rsid w:val="00A33A85"/>
    <w:rsid w:val="00A33AA8"/>
    <w:rsid w:val="00A35054"/>
    <w:rsid w:val="00A41209"/>
    <w:rsid w:val="00A42AC7"/>
    <w:rsid w:val="00A453CE"/>
    <w:rsid w:val="00A45A38"/>
    <w:rsid w:val="00A45E8F"/>
    <w:rsid w:val="00A47C6E"/>
    <w:rsid w:val="00A50246"/>
    <w:rsid w:val="00A5194B"/>
    <w:rsid w:val="00A54025"/>
    <w:rsid w:val="00A540FE"/>
    <w:rsid w:val="00A5714E"/>
    <w:rsid w:val="00A61DAA"/>
    <w:rsid w:val="00A62C2B"/>
    <w:rsid w:val="00A63E9B"/>
    <w:rsid w:val="00A65016"/>
    <w:rsid w:val="00A669BD"/>
    <w:rsid w:val="00A70585"/>
    <w:rsid w:val="00A76D5B"/>
    <w:rsid w:val="00A773AB"/>
    <w:rsid w:val="00A77411"/>
    <w:rsid w:val="00A80795"/>
    <w:rsid w:val="00A81307"/>
    <w:rsid w:val="00A83577"/>
    <w:rsid w:val="00A836B6"/>
    <w:rsid w:val="00A873DC"/>
    <w:rsid w:val="00A912B3"/>
    <w:rsid w:val="00A95253"/>
    <w:rsid w:val="00A97B0C"/>
    <w:rsid w:val="00A97BD8"/>
    <w:rsid w:val="00AA1E3D"/>
    <w:rsid w:val="00AA1EF5"/>
    <w:rsid w:val="00AA59ED"/>
    <w:rsid w:val="00AB218F"/>
    <w:rsid w:val="00AB3B97"/>
    <w:rsid w:val="00AB5112"/>
    <w:rsid w:val="00AB5242"/>
    <w:rsid w:val="00AB5EE5"/>
    <w:rsid w:val="00AB60E3"/>
    <w:rsid w:val="00AB76D5"/>
    <w:rsid w:val="00AC0DD1"/>
    <w:rsid w:val="00AC2368"/>
    <w:rsid w:val="00AC43A1"/>
    <w:rsid w:val="00AC4956"/>
    <w:rsid w:val="00AC6698"/>
    <w:rsid w:val="00AC66C1"/>
    <w:rsid w:val="00AD043F"/>
    <w:rsid w:val="00AD0BD3"/>
    <w:rsid w:val="00AD1198"/>
    <w:rsid w:val="00AD1BB4"/>
    <w:rsid w:val="00AD7D07"/>
    <w:rsid w:val="00AE06C4"/>
    <w:rsid w:val="00AE0989"/>
    <w:rsid w:val="00AE0FCC"/>
    <w:rsid w:val="00AE36CB"/>
    <w:rsid w:val="00AE3E2B"/>
    <w:rsid w:val="00AE45FD"/>
    <w:rsid w:val="00AE70CE"/>
    <w:rsid w:val="00AF1671"/>
    <w:rsid w:val="00AF18A9"/>
    <w:rsid w:val="00AF1F0A"/>
    <w:rsid w:val="00AF2BD8"/>
    <w:rsid w:val="00AF3A16"/>
    <w:rsid w:val="00B019F5"/>
    <w:rsid w:val="00B01F50"/>
    <w:rsid w:val="00B02936"/>
    <w:rsid w:val="00B03106"/>
    <w:rsid w:val="00B0435F"/>
    <w:rsid w:val="00B061E8"/>
    <w:rsid w:val="00B10BE1"/>
    <w:rsid w:val="00B12DFB"/>
    <w:rsid w:val="00B12E20"/>
    <w:rsid w:val="00B13780"/>
    <w:rsid w:val="00B145E4"/>
    <w:rsid w:val="00B155A6"/>
    <w:rsid w:val="00B2160E"/>
    <w:rsid w:val="00B22A17"/>
    <w:rsid w:val="00B2474C"/>
    <w:rsid w:val="00B2676D"/>
    <w:rsid w:val="00B27C4F"/>
    <w:rsid w:val="00B31DF4"/>
    <w:rsid w:val="00B32DFE"/>
    <w:rsid w:val="00B401A3"/>
    <w:rsid w:val="00B42070"/>
    <w:rsid w:val="00B43B2D"/>
    <w:rsid w:val="00B43E7D"/>
    <w:rsid w:val="00B44B48"/>
    <w:rsid w:val="00B44B78"/>
    <w:rsid w:val="00B522D9"/>
    <w:rsid w:val="00B528E2"/>
    <w:rsid w:val="00B539F1"/>
    <w:rsid w:val="00B5605E"/>
    <w:rsid w:val="00B5619D"/>
    <w:rsid w:val="00B57433"/>
    <w:rsid w:val="00B609A0"/>
    <w:rsid w:val="00B61CB6"/>
    <w:rsid w:val="00B6200C"/>
    <w:rsid w:val="00B64A0E"/>
    <w:rsid w:val="00B65DA7"/>
    <w:rsid w:val="00B668CE"/>
    <w:rsid w:val="00B66FC2"/>
    <w:rsid w:val="00B702BC"/>
    <w:rsid w:val="00B7179D"/>
    <w:rsid w:val="00B76A79"/>
    <w:rsid w:val="00B81B3A"/>
    <w:rsid w:val="00B81B77"/>
    <w:rsid w:val="00B81E4D"/>
    <w:rsid w:val="00B82430"/>
    <w:rsid w:val="00B840EC"/>
    <w:rsid w:val="00B848EF"/>
    <w:rsid w:val="00B85183"/>
    <w:rsid w:val="00B852CD"/>
    <w:rsid w:val="00B86FD1"/>
    <w:rsid w:val="00B91CC9"/>
    <w:rsid w:val="00B96C09"/>
    <w:rsid w:val="00B97ABA"/>
    <w:rsid w:val="00BA1FF8"/>
    <w:rsid w:val="00BA368B"/>
    <w:rsid w:val="00BA40CF"/>
    <w:rsid w:val="00BA5D9D"/>
    <w:rsid w:val="00BB4B0C"/>
    <w:rsid w:val="00BC1EFF"/>
    <w:rsid w:val="00BC3BA9"/>
    <w:rsid w:val="00BC58D5"/>
    <w:rsid w:val="00BC75D8"/>
    <w:rsid w:val="00BC7A08"/>
    <w:rsid w:val="00BD02B5"/>
    <w:rsid w:val="00BD1AEF"/>
    <w:rsid w:val="00BD7746"/>
    <w:rsid w:val="00BE3225"/>
    <w:rsid w:val="00BF00D8"/>
    <w:rsid w:val="00BF0B7C"/>
    <w:rsid w:val="00BF3656"/>
    <w:rsid w:val="00BF38BD"/>
    <w:rsid w:val="00BF43AB"/>
    <w:rsid w:val="00BF639C"/>
    <w:rsid w:val="00BF6A46"/>
    <w:rsid w:val="00BF7D7B"/>
    <w:rsid w:val="00C0117A"/>
    <w:rsid w:val="00C020CD"/>
    <w:rsid w:val="00C02406"/>
    <w:rsid w:val="00C02825"/>
    <w:rsid w:val="00C0361A"/>
    <w:rsid w:val="00C05873"/>
    <w:rsid w:val="00C06214"/>
    <w:rsid w:val="00C07204"/>
    <w:rsid w:val="00C07B96"/>
    <w:rsid w:val="00C1137F"/>
    <w:rsid w:val="00C121B1"/>
    <w:rsid w:val="00C15D9E"/>
    <w:rsid w:val="00C1634F"/>
    <w:rsid w:val="00C1727B"/>
    <w:rsid w:val="00C21C9A"/>
    <w:rsid w:val="00C21DE0"/>
    <w:rsid w:val="00C2324A"/>
    <w:rsid w:val="00C24C8F"/>
    <w:rsid w:val="00C305B0"/>
    <w:rsid w:val="00C314E9"/>
    <w:rsid w:val="00C34BB3"/>
    <w:rsid w:val="00C35F71"/>
    <w:rsid w:val="00C412BD"/>
    <w:rsid w:val="00C412EC"/>
    <w:rsid w:val="00C4330D"/>
    <w:rsid w:val="00C478B0"/>
    <w:rsid w:val="00C50F57"/>
    <w:rsid w:val="00C5201F"/>
    <w:rsid w:val="00C52774"/>
    <w:rsid w:val="00C5363E"/>
    <w:rsid w:val="00C55064"/>
    <w:rsid w:val="00C60308"/>
    <w:rsid w:val="00C621A3"/>
    <w:rsid w:val="00C638D8"/>
    <w:rsid w:val="00C64E3F"/>
    <w:rsid w:val="00C656DB"/>
    <w:rsid w:val="00C6665C"/>
    <w:rsid w:val="00C710A4"/>
    <w:rsid w:val="00C722A5"/>
    <w:rsid w:val="00C73665"/>
    <w:rsid w:val="00C75A98"/>
    <w:rsid w:val="00C815DD"/>
    <w:rsid w:val="00C8190D"/>
    <w:rsid w:val="00C82B30"/>
    <w:rsid w:val="00C84D10"/>
    <w:rsid w:val="00C8708B"/>
    <w:rsid w:val="00C90609"/>
    <w:rsid w:val="00C9143E"/>
    <w:rsid w:val="00C91532"/>
    <w:rsid w:val="00C95ABC"/>
    <w:rsid w:val="00C95F5B"/>
    <w:rsid w:val="00CA1956"/>
    <w:rsid w:val="00CA3360"/>
    <w:rsid w:val="00CA465D"/>
    <w:rsid w:val="00CA4E41"/>
    <w:rsid w:val="00CA70FA"/>
    <w:rsid w:val="00CB062D"/>
    <w:rsid w:val="00CB23B9"/>
    <w:rsid w:val="00CB3B94"/>
    <w:rsid w:val="00CB7FE1"/>
    <w:rsid w:val="00CC22FF"/>
    <w:rsid w:val="00CC3BD5"/>
    <w:rsid w:val="00CC5D99"/>
    <w:rsid w:val="00CC75E9"/>
    <w:rsid w:val="00CD062C"/>
    <w:rsid w:val="00CD1D48"/>
    <w:rsid w:val="00CD2105"/>
    <w:rsid w:val="00CD2D5E"/>
    <w:rsid w:val="00CD4325"/>
    <w:rsid w:val="00CD6ADD"/>
    <w:rsid w:val="00CD7838"/>
    <w:rsid w:val="00CD7A4B"/>
    <w:rsid w:val="00CE2030"/>
    <w:rsid w:val="00CF0364"/>
    <w:rsid w:val="00CF12EB"/>
    <w:rsid w:val="00CF1CDE"/>
    <w:rsid w:val="00CF227D"/>
    <w:rsid w:val="00CF2C0C"/>
    <w:rsid w:val="00CF2E34"/>
    <w:rsid w:val="00CF466D"/>
    <w:rsid w:val="00CF57F6"/>
    <w:rsid w:val="00D005A9"/>
    <w:rsid w:val="00D01068"/>
    <w:rsid w:val="00D02273"/>
    <w:rsid w:val="00D02772"/>
    <w:rsid w:val="00D02DE1"/>
    <w:rsid w:val="00D0386D"/>
    <w:rsid w:val="00D04113"/>
    <w:rsid w:val="00D04F3F"/>
    <w:rsid w:val="00D05904"/>
    <w:rsid w:val="00D05A52"/>
    <w:rsid w:val="00D05F27"/>
    <w:rsid w:val="00D112EB"/>
    <w:rsid w:val="00D12281"/>
    <w:rsid w:val="00D13B9D"/>
    <w:rsid w:val="00D13F8C"/>
    <w:rsid w:val="00D26836"/>
    <w:rsid w:val="00D30CC6"/>
    <w:rsid w:val="00D311A2"/>
    <w:rsid w:val="00D321A2"/>
    <w:rsid w:val="00D35855"/>
    <w:rsid w:val="00D35AD7"/>
    <w:rsid w:val="00D36CC2"/>
    <w:rsid w:val="00D37055"/>
    <w:rsid w:val="00D37915"/>
    <w:rsid w:val="00D40952"/>
    <w:rsid w:val="00D417E4"/>
    <w:rsid w:val="00D455D1"/>
    <w:rsid w:val="00D47927"/>
    <w:rsid w:val="00D5667A"/>
    <w:rsid w:val="00D57F54"/>
    <w:rsid w:val="00D62053"/>
    <w:rsid w:val="00D62FB2"/>
    <w:rsid w:val="00D63DF8"/>
    <w:rsid w:val="00D73108"/>
    <w:rsid w:val="00D760D2"/>
    <w:rsid w:val="00D82460"/>
    <w:rsid w:val="00D82703"/>
    <w:rsid w:val="00D854B5"/>
    <w:rsid w:val="00D870E3"/>
    <w:rsid w:val="00D87F40"/>
    <w:rsid w:val="00D944D2"/>
    <w:rsid w:val="00DA1F86"/>
    <w:rsid w:val="00DA70ED"/>
    <w:rsid w:val="00DB1A28"/>
    <w:rsid w:val="00DB3921"/>
    <w:rsid w:val="00DC0BB8"/>
    <w:rsid w:val="00DC4451"/>
    <w:rsid w:val="00DC69D3"/>
    <w:rsid w:val="00DC6AB5"/>
    <w:rsid w:val="00DD32D3"/>
    <w:rsid w:val="00DE2D77"/>
    <w:rsid w:val="00DE47E3"/>
    <w:rsid w:val="00DE5666"/>
    <w:rsid w:val="00DE67A1"/>
    <w:rsid w:val="00DF272B"/>
    <w:rsid w:val="00DF3333"/>
    <w:rsid w:val="00DF3B23"/>
    <w:rsid w:val="00DF5781"/>
    <w:rsid w:val="00E0000E"/>
    <w:rsid w:val="00E00F86"/>
    <w:rsid w:val="00E024AE"/>
    <w:rsid w:val="00E02E34"/>
    <w:rsid w:val="00E05C2C"/>
    <w:rsid w:val="00E06541"/>
    <w:rsid w:val="00E13C01"/>
    <w:rsid w:val="00E15925"/>
    <w:rsid w:val="00E170AD"/>
    <w:rsid w:val="00E17AE6"/>
    <w:rsid w:val="00E22291"/>
    <w:rsid w:val="00E233B7"/>
    <w:rsid w:val="00E2442D"/>
    <w:rsid w:val="00E24B40"/>
    <w:rsid w:val="00E302B7"/>
    <w:rsid w:val="00E3081E"/>
    <w:rsid w:val="00E36ADA"/>
    <w:rsid w:val="00E375EC"/>
    <w:rsid w:val="00E4153C"/>
    <w:rsid w:val="00E4534B"/>
    <w:rsid w:val="00E472EC"/>
    <w:rsid w:val="00E52D4B"/>
    <w:rsid w:val="00E54E4D"/>
    <w:rsid w:val="00E5523B"/>
    <w:rsid w:val="00E60A41"/>
    <w:rsid w:val="00E6412C"/>
    <w:rsid w:val="00E65071"/>
    <w:rsid w:val="00E66732"/>
    <w:rsid w:val="00E66B2A"/>
    <w:rsid w:val="00E70DA2"/>
    <w:rsid w:val="00E71230"/>
    <w:rsid w:val="00E71640"/>
    <w:rsid w:val="00E76D10"/>
    <w:rsid w:val="00E8228A"/>
    <w:rsid w:val="00E830D9"/>
    <w:rsid w:val="00E841F6"/>
    <w:rsid w:val="00E84BCC"/>
    <w:rsid w:val="00E85410"/>
    <w:rsid w:val="00E854F8"/>
    <w:rsid w:val="00E85989"/>
    <w:rsid w:val="00E90BE6"/>
    <w:rsid w:val="00E92BDB"/>
    <w:rsid w:val="00E92E8B"/>
    <w:rsid w:val="00E95C9E"/>
    <w:rsid w:val="00EA111B"/>
    <w:rsid w:val="00EA1ABB"/>
    <w:rsid w:val="00EA2009"/>
    <w:rsid w:val="00EA42F3"/>
    <w:rsid w:val="00EA443D"/>
    <w:rsid w:val="00EA483C"/>
    <w:rsid w:val="00EA7319"/>
    <w:rsid w:val="00EB1DA9"/>
    <w:rsid w:val="00EB5689"/>
    <w:rsid w:val="00EC00D9"/>
    <w:rsid w:val="00EC02B4"/>
    <w:rsid w:val="00EC03E3"/>
    <w:rsid w:val="00EC1D6E"/>
    <w:rsid w:val="00EC3896"/>
    <w:rsid w:val="00EC465F"/>
    <w:rsid w:val="00EC6AFD"/>
    <w:rsid w:val="00ED0C2D"/>
    <w:rsid w:val="00ED0C8F"/>
    <w:rsid w:val="00ED286C"/>
    <w:rsid w:val="00ED2C90"/>
    <w:rsid w:val="00ED306B"/>
    <w:rsid w:val="00ED36A2"/>
    <w:rsid w:val="00ED3C7C"/>
    <w:rsid w:val="00ED4F4B"/>
    <w:rsid w:val="00ED6484"/>
    <w:rsid w:val="00ED6CD9"/>
    <w:rsid w:val="00ED7B32"/>
    <w:rsid w:val="00EE1469"/>
    <w:rsid w:val="00EE3FF6"/>
    <w:rsid w:val="00EE5381"/>
    <w:rsid w:val="00EE65DA"/>
    <w:rsid w:val="00EF096D"/>
    <w:rsid w:val="00EF0BD5"/>
    <w:rsid w:val="00EF137D"/>
    <w:rsid w:val="00EF18AD"/>
    <w:rsid w:val="00EF36EC"/>
    <w:rsid w:val="00EF562E"/>
    <w:rsid w:val="00EF7E78"/>
    <w:rsid w:val="00F0583E"/>
    <w:rsid w:val="00F107F1"/>
    <w:rsid w:val="00F10AC4"/>
    <w:rsid w:val="00F11DC8"/>
    <w:rsid w:val="00F12BED"/>
    <w:rsid w:val="00F14DAF"/>
    <w:rsid w:val="00F16844"/>
    <w:rsid w:val="00F203E6"/>
    <w:rsid w:val="00F21C58"/>
    <w:rsid w:val="00F22562"/>
    <w:rsid w:val="00F24D6F"/>
    <w:rsid w:val="00F300BF"/>
    <w:rsid w:val="00F32147"/>
    <w:rsid w:val="00F337C1"/>
    <w:rsid w:val="00F3421B"/>
    <w:rsid w:val="00F43533"/>
    <w:rsid w:val="00F43E4B"/>
    <w:rsid w:val="00F44134"/>
    <w:rsid w:val="00F47979"/>
    <w:rsid w:val="00F50943"/>
    <w:rsid w:val="00F509E9"/>
    <w:rsid w:val="00F523DE"/>
    <w:rsid w:val="00F53E32"/>
    <w:rsid w:val="00F54103"/>
    <w:rsid w:val="00F564BB"/>
    <w:rsid w:val="00F566FD"/>
    <w:rsid w:val="00F56EFD"/>
    <w:rsid w:val="00F57125"/>
    <w:rsid w:val="00F5773A"/>
    <w:rsid w:val="00F62FCF"/>
    <w:rsid w:val="00F63062"/>
    <w:rsid w:val="00F631EA"/>
    <w:rsid w:val="00F644A3"/>
    <w:rsid w:val="00F64BC7"/>
    <w:rsid w:val="00F6509F"/>
    <w:rsid w:val="00F66FF4"/>
    <w:rsid w:val="00F71DE6"/>
    <w:rsid w:val="00F7494C"/>
    <w:rsid w:val="00F74B6B"/>
    <w:rsid w:val="00F8038B"/>
    <w:rsid w:val="00F853E2"/>
    <w:rsid w:val="00F90608"/>
    <w:rsid w:val="00F9700A"/>
    <w:rsid w:val="00FA03EE"/>
    <w:rsid w:val="00FA5B91"/>
    <w:rsid w:val="00FB5470"/>
    <w:rsid w:val="00FB5AC1"/>
    <w:rsid w:val="00FB5C19"/>
    <w:rsid w:val="00FB7D4D"/>
    <w:rsid w:val="00FC0A33"/>
    <w:rsid w:val="00FC1FF2"/>
    <w:rsid w:val="00FC2E4B"/>
    <w:rsid w:val="00FC3529"/>
    <w:rsid w:val="00FC3AC2"/>
    <w:rsid w:val="00FD06FC"/>
    <w:rsid w:val="00FD0769"/>
    <w:rsid w:val="00FD40D9"/>
    <w:rsid w:val="00FD5C7E"/>
    <w:rsid w:val="00FD6B46"/>
    <w:rsid w:val="00FD7051"/>
    <w:rsid w:val="00FE1108"/>
    <w:rsid w:val="00FE220E"/>
    <w:rsid w:val="00FE282E"/>
    <w:rsid w:val="00FE40B8"/>
    <w:rsid w:val="00FE4CB9"/>
    <w:rsid w:val="00FF0F84"/>
    <w:rsid w:val="00FF4098"/>
    <w:rsid w:val="00FF7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31F"/>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F300BF"/>
    <w:pPr>
      <w:keepNext/>
      <w:keepLines/>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F300BF"/>
    <w:pPr>
      <w:keepNext/>
      <w:keepLines/>
      <w:spacing w:before="20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F300BF"/>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062C"/>
    <w:pPr>
      <w:tabs>
        <w:tab w:val="center" w:pos="4536"/>
        <w:tab w:val="right" w:pos="9072"/>
      </w:tabs>
    </w:pPr>
  </w:style>
  <w:style w:type="character" w:customStyle="1" w:styleId="ZhlavChar">
    <w:name w:val="Záhlaví Char"/>
    <w:basedOn w:val="Standardnpsmoodstavce"/>
    <w:link w:val="Zhlav"/>
    <w:uiPriority w:val="99"/>
    <w:rsid w:val="00CD062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D062C"/>
    <w:pPr>
      <w:tabs>
        <w:tab w:val="center" w:pos="4536"/>
        <w:tab w:val="right" w:pos="9072"/>
      </w:tabs>
    </w:pPr>
  </w:style>
  <w:style w:type="character" w:customStyle="1" w:styleId="ZpatChar">
    <w:name w:val="Zápatí Char"/>
    <w:basedOn w:val="Standardnpsmoodstavce"/>
    <w:link w:val="Zpat"/>
    <w:uiPriority w:val="99"/>
    <w:rsid w:val="00CD062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062C"/>
    <w:rPr>
      <w:rFonts w:ascii="Tahoma" w:hAnsi="Tahoma" w:cs="Tahoma"/>
      <w:sz w:val="16"/>
      <w:szCs w:val="16"/>
    </w:rPr>
  </w:style>
  <w:style w:type="character" w:customStyle="1" w:styleId="TextbublinyChar">
    <w:name w:val="Text bubliny Char"/>
    <w:basedOn w:val="Standardnpsmoodstavce"/>
    <w:link w:val="Textbubliny"/>
    <w:uiPriority w:val="99"/>
    <w:semiHidden/>
    <w:rsid w:val="00CD062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733C"/>
    <w:rPr>
      <w:sz w:val="16"/>
      <w:szCs w:val="16"/>
    </w:rPr>
  </w:style>
  <w:style w:type="paragraph" w:styleId="Textkomente">
    <w:name w:val="annotation text"/>
    <w:basedOn w:val="Normln"/>
    <w:link w:val="TextkomenteChar"/>
    <w:uiPriority w:val="99"/>
    <w:unhideWhenUsed/>
    <w:rsid w:val="0081733C"/>
  </w:style>
  <w:style w:type="character" w:customStyle="1" w:styleId="TextkomenteChar">
    <w:name w:val="Text komentáře Char"/>
    <w:basedOn w:val="Standardnpsmoodstavce"/>
    <w:link w:val="Textkomente"/>
    <w:uiPriority w:val="99"/>
    <w:rsid w:val="00817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733C"/>
    <w:rPr>
      <w:b/>
      <w:bCs/>
    </w:rPr>
  </w:style>
  <w:style w:type="character" w:customStyle="1" w:styleId="PedmtkomenteChar">
    <w:name w:val="Předmět komentáře Char"/>
    <w:basedOn w:val="TextkomenteChar"/>
    <w:link w:val="Pedmtkomente"/>
    <w:uiPriority w:val="99"/>
    <w:semiHidden/>
    <w:rsid w:val="0081733C"/>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A4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300BF"/>
    <w:rPr>
      <w:rFonts w:ascii="Arial" w:eastAsiaTheme="majorEastAsia" w:hAnsi="Arial" w:cstheme="majorBidi"/>
      <w:b/>
      <w:bCs/>
      <w:sz w:val="28"/>
      <w:szCs w:val="28"/>
      <w:lang w:eastAsia="cs-CZ"/>
    </w:rPr>
  </w:style>
  <w:style w:type="character" w:customStyle="1" w:styleId="Nadpis2Char">
    <w:name w:val="Nadpis 2 Char"/>
    <w:basedOn w:val="Standardnpsmoodstavce"/>
    <w:link w:val="Nadpis2"/>
    <w:uiPriority w:val="9"/>
    <w:rsid w:val="00F300BF"/>
    <w:rPr>
      <w:rFonts w:ascii="Arial" w:eastAsiaTheme="majorEastAsia" w:hAnsi="Arial" w:cstheme="majorBidi"/>
      <w:b/>
      <w:bCs/>
      <w:sz w:val="26"/>
      <w:szCs w:val="26"/>
      <w:lang w:eastAsia="cs-CZ"/>
    </w:rPr>
  </w:style>
  <w:style w:type="character" w:customStyle="1" w:styleId="Nadpis3Char">
    <w:name w:val="Nadpis 3 Char"/>
    <w:basedOn w:val="Standardnpsmoodstavce"/>
    <w:link w:val="Nadpis3"/>
    <w:uiPriority w:val="9"/>
    <w:rsid w:val="00F300BF"/>
    <w:rPr>
      <w:rFonts w:ascii="Arial" w:eastAsiaTheme="majorEastAsia" w:hAnsi="Arial" w:cstheme="majorBidi"/>
      <w:b/>
      <w:bCs/>
      <w:sz w:val="20"/>
      <w:szCs w:val="20"/>
      <w:lang w:eastAsia="cs-CZ"/>
    </w:rPr>
  </w:style>
  <w:style w:type="paragraph" w:styleId="Nzev">
    <w:name w:val="Title"/>
    <w:basedOn w:val="Normln"/>
    <w:next w:val="Normln"/>
    <w:link w:val="NzevChar"/>
    <w:uiPriority w:val="10"/>
    <w:qFormat/>
    <w:rsid w:val="00111D7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11D78"/>
    <w:rPr>
      <w:rFonts w:ascii="Arial" w:eastAsiaTheme="majorEastAsia" w:hAnsi="Arial" w:cstheme="majorBidi"/>
      <w:color w:val="17365D" w:themeColor="text2" w:themeShade="BF"/>
      <w:spacing w:val="5"/>
      <w:kern w:val="28"/>
      <w:sz w:val="52"/>
      <w:szCs w:val="52"/>
      <w:lang w:eastAsia="cs-CZ"/>
    </w:rPr>
  </w:style>
  <w:style w:type="paragraph" w:styleId="Podtitul">
    <w:name w:val="Subtitle"/>
    <w:basedOn w:val="Normln"/>
    <w:next w:val="Normln"/>
    <w:link w:val="PodtitulChar"/>
    <w:uiPriority w:val="11"/>
    <w:qFormat/>
    <w:rsid w:val="00111D78"/>
    <w:pPr>
      <w:numPr>
        <w:ilvl w:val="1"/>
      </w:numPr>
    </w:pPr>
    <w:rPr>
      <w:rFonts w:eastAsiaTheme="majorEastAsia"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11D78"/>
    <w:rPr>
      <w:rFonts w:ascii="Arial" w:eastAsiaTheme="majorEastAsia" w:hAnsi="Arial" w:cstheme="majorBidi"/>
      <w:i/>
      <w:iCs/>
      <w:color w:val="4F81BD" w:themeColor="accent1"/>
      <w:spacing w:val="15"/>
      <w:sz w:val="24"/>
      <w:szCs w:val="24"/>
      <w:lang w:eastAsia="cs-CZ"/>
    </w:rPr>
  </w:style>
  <w:style w:type="character" w:styleId="Zdraznnjemn">
    <w:name w:val="Subtle Emphasis"/>
    <w:basedOn w:val="Standardnpsmoodstavce"/>
    <w:uiPriority w:val="19"/>
    <w:qFormat/>
    <w:rsid w:val="00111D78"/>
    <w:rPr>
      <w:rFonts w:ascii="Arial" w:hAnsi="Arial"/>
      <w:i/>
      <w:iCs/>
      <w:color w:val="808080" w:themeColor="text1" w:themeTint="7F"/>
    </w:rPr>
  </w:style>
  <w:style w:type="paragraph" w:styleId="Bezmezer">
    <w:name w:val="No Spacing"/>
    <w:uiPriority w:val="1"/>
    <w:qFormat/>
    <w:rsid w:val="00111D78"/>
    <w:pPr>
      <w:spacing w:after="0" w:line="240" w:lineRule="auto"/>
    </w:pPr>
    <w:rPr>
      <w:rFonts w:ascii="Arial" w:eastAsia="Times New Roman" w:hAnsi="Arial" w:cs="Times New Roman"/>
      <w:sz w:val="20"/>
      <w:szCs w:val="20"/>
      <w:lang w:eastAsia="cs-CZ"/>
    </w:rPr>
  </w:style>
  <w:style w:type="character" w:styleId="Zvraznn">
    <w:name w:val="Emphasis"/>
    <w:basedOn w:val="Standardnpsmoodstavce"/>
    <w:uiPriority w:val="20"/>
    <w:qFormat/>
    <w:rsid w:val="005244D5"/>
    <w:rPr>
      <w:i/>
      <w:iCs/>
    </w:rPr>
  </w:style>
  <w:style w:type="paragraph" w:styleId="Odstavecseseznamem">
    <w:name w:val="List Paragraph"/>
    <w:basedOn w:val="Normln"/>
    <w:uiPriority w:val="34"/>
    <w:qFormat/>
    <w:rsid w:val="00FF0F84"/>
    <w:pPr>
      <w:ind w:left="720"/>
      <w:contextualSpacing/>
    </w:pPr>
  </w:style>
  <w:style w:type="paragraph" w:styleId="Revize">
    <w:name w:val="Revision"/>
    <w:hidden/>
    <w:uiPriority w:val="99"/>
    <w:semiHidden/>
    <w:rsid w:val="004E1AED"/>
    <w:pPr>
      <w:spacing w:after="0" w:line="240" w:lineRule="auto"/>
    </w:pPr>
    <w:rPr>
      <w:rFonts w:ascii="Arial" w:eastAsia="Times New Roman" w:hAnsi="Arial" w:cs="Times New Roman"/>
      <w:sz w:val="20"/>
      <w:szCs w:val="20"/>
      <w:lang w:eastAsia="cs-CZ"/>
    </w:rPr>
  </w:style>
  <w:style w:type="numbering" w:customStyle="1" w:styleId="Bezseznamu1">
    <w:name w:val="Bez seznamu1"/>
    <w:next w:val="Bezseznamu"/>
    <w:uiPriority w:val="99"/>
    <w:semiHidden/>
    <w:unhideWhenUsed/>
    <w:rsid w:val="00D455D1"/>
  </w:style>
  <w:style w:type="character" w:styleId="Hypertextovodkaz">
    <w:name w:val="Hyperlink"/>
    <w:basedOn w:val="Standardnpsmoodstavce"/>
    <w:uiPriority w:val="99"/>
    <w:semiHidden/>
    <w:unhideWhenUsed/>
    <w:rsid w:val="00282889"/>
    <w:rPr>
      <w:color w:val="0000FF"/>
      <w:u w:val="single"/>
    </w:rPr>
  </w:style>
  <w:style w:type="character" w:styleId="Sledovanodkaz">
    <w:name w:val="FollowedHyperlink"/>
    <w:basedOn w:val="Standardnpsmoodstavce"/>
    <w:uiPriority w:val="99"/>
    <w:semiHidden/>
    <w:unhideWhenUsed/>
    <w:rsid w:val="00282889"/>
    <w:rPr>
      <w:color w:val="800080"/>
      <w:u w:val="single"/>
    </w:rPr>
  </w:style>
  <w:style w:type="paragraph" w:customStyle="1" w:styleId="xl128">
    <w:name w:val="xl128"/>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9">
    <w:name w:val="xl129"/>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0">
    <w:name w:val="xl130"/>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2">
    <w:name w:val="xl132"/>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3">
    <w:name w:val="xl133"/>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5">
    <w:name w:val="xl135"/>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6">
    <w:name w:val="xl136"/>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8">
    <w:name w:val="xl138"/>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39">
    <w:name w:val="xl139"/>
    <w:basedOn w:val="Normln"/>
    <w:rsid w:val="002828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rPr>
  </w:style>
  <w:style w:type="paragraph" w:customStyle="1" w:styleId="xl140">
    <w:name w:val="xl140"/>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41">
    <w:name w:val="xl141"/>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2">
    <w:name w:val="xl142"/>
    <w:basedOn w:val="Normln"/>
    <w:rsid w:val="0028288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paragraph" w:customStyle="1" w:styleId="xl143">
    <w:name w:val="xl143"/>
    <w:basedOn w:val="Normln"/>
    <w:rsid w:val="002828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color w:val="000000"/>
    </w:rPr>
  </w:style>
  <w:style w:type="paragraph" w:customStyle="1" w:styleId="xl144">
    <w:name w:val="xl144"/>
    <w:basedOn w:val="Normln"/>
    <w:rsid w:val="002828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numbering" w:customStyle="1" w:styleId="Bezseznamu2">
    <w:name w:val="Bez seznamu2"/>
    <w:next w:val="Bezseznamu"/>
    <w:uiPriority w:val="99"/>
    <w:semiHidden/>
    <w:unhideWhenUsed/>
    <w:rsid w:val="00D944D2"/>
  </w:style>
  <w:style w:type="table" w:customStyle="1" w:styleId="Mkatabulky1">
    <w:name w:val="Mřížka tabulky1"/>
    <w:basedOn w:val="Normlntabulka"/>
    <w:next w:val="Mkatabulky"/>
    <w:uiPriority w:val="59"/>
    <w:rsid w:val="00D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D944D2"/>
  </w:style>
  <w:style w:type="paragraph" w:customStyle="1" w:styleId="xl126">
    <w:name w:val="xl126"/>
    <w:basedOn w:val="Normln"/>
    <w:rsid w:val="00D94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7">
    <w:name w:val="xl127"/>
    <w:basedOn w:val="Normln"/>
    <w:rsid w:val="00D94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styleId="Textpoznpodarou">
    <w:name w:val="footnote text"/>
    <w:basedOn w:val="Normln"/>
    <w:link w:val="TextpoznpodarouChar"/>
    <w:uiPriority w:val="99"/>
    <w:semiHidden/>
    <w:unhideWhenUsed/>
    <w:rsid w:val="00FC0A33"/>
  </w:style>
  <w:style w:type="character" w:customStyle="1" w:styleId="TextpoznpodarouChar">
    <w:name w:val="Text pozn. pod čarou Char"/>
    <w:basedOn w:val="Standardnpsmoodstavce"/>
    <w:link w:val="Textpoznpodarou"/>
    <w:uiPriority w:val="99"/>
    <w:semiHidden/>
    <w:rsid w:val="00FC0A3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FC0A33"/>
    <w:rPr>
      <w:vertAlign w:val="superscript"/>
    </w:rPr>
  </w:style>
  <w:style w:type="paragraph" w:styleId="Textvysvtlivek">
    <w:name w:val="endnote text"/>
    <w:basedOn w:val="Normln"/>
    <w:link w:val="TextvysvtlivekChar"/>
    <w:uiPriority w:val="99"/>
    <w:semiHidden/>
    <w:unhideWhenUsed/>
    <w:rsid w:val="00F644A3"/>
  </w:style>
  <w:style w:type="character" w:customStyle="1" w:styleId="TextvysvtlivekChar">
    <w:name w:val="Text vysvětlivek Char"/>
    <w:basedOn w:val="Standardnpsmoodstavce"/>
    <w:link w:val="Textvysvtlivek"/>
    <w:uiPriority w:val="99"/>
    <w:semiHidden/>
    <w:rsid w:val="00F644A3"/>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F644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31F"/>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F300BF"/>
    <w:pPr>
      <w:keepNext/>
      <w:keepLines/>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F300BF"/>
    <w:pPr>
      <w:keepNext/>
      <w:keepLines/>
      <w:spacing w:before="20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F300BF"/>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062C"/>
    <w:pPr>
      <w:tabs>
        <w:tab w:val="center" w:pos="4536"/>
        <w:tab w:val="right" w:pos="9072"/>
      </w:tabs>
    </w:pPr>
  </w:style>
  <w:style w:type="character" w:customStyle="1" w:styleId="ZhlavChar">
    <w:name w:val="Záhlaví Char"/>
    <w:basedOn w:val="Standardnpsmoodstavce"/>
    <w:link w:val="Zhlav"/>
    <w:uiPriority w:val="99"/>
    <w:rsid w:val="00CD062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D062C"/>
    <w:pPr>
      <w:tabs>
        <w:tab w:val="center" w:pos="4536"/>
        <w:tab w:val="right" w:pos="9072"/>
      </w:tabs>
    </w:pPr>
  </w:style>
  <w:style w:type="character" w:customStyle="1" w:styleId="ZpatChar">
    <w:name w:val="Zápatí Char"/>
    <w:basedOn w:val="Standardnpsmoodstavce"/>
    <w:link w:val="Zpat"/>
    <w:uiPriority w:val="99"/>
    <w:rsid w:val="00CD062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062C"/>
    <w:rPr>
      <w:rFonts w:ascii="Tahoma" w:hAnsi="Tahoma" w:cs="Tahoma"/>
      <w:sz w:val="16"/>
      <w:szCs w:val="16"/>
    </w:rPr>
  </w:style>
  <w:style w:type="character" w:customStyle="1" w:styleId="TextbublinyChar">
    <w:name w:val="Text bubliny Char"/>
    <w:basedOn w:val="Standardnpsmoodstavce"/>
    <w:link w:val="Textbubliny"/>
    <w:uiPriority w:val="99"/>
    <w:semiHidden/>
    <w:rsid w:val="00CD062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733C"/>
    <w:rPr>
      <w:sz w:val="16"/>
      <w:szCs w:val="16"/>
    </w:rPr>
  </w:style>
  <w:style w:type="paragraph" w:styleId="Textkomente">
    <w:name w:val="annotation text"/>
    <w:basedOn w:val="Normln"/>
    <w:link w:val="TextkomenteChar"/>
    <w:uiPriority w:val="99"/>
    <w:unhideWhenUsed/>
    <w:rsid w:val="0081733C"/>
  </w:style>
  <w:style w:type="character" w:customStyle="1" w:styleId="TextkomenteChar">
    <w:name w:val="Text komentáře Char"/>
    <w:basedOn w:val="Standardnpsmoodstavce"/>
    <w:link w:val="Textkomente"/>
    <w:uiPriority w:val="99"/>
    <w:rsid w:val="00817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733C"/>
    <w:rPr>
      <w:b/>
      <w:bCs/>
    </w:rPr>
  </w:style>
  <w:style w:type="character" w:customStyle="1" w:styleId="PedmtkomenteChar">
    <w:name w:val="Předmět komentáře Char"/>
    <w:basedOn w:val="TextkomenteChar"/>
    <w:link w:val="Pedmtkomente"/>
    <w:uiPriority w:val="99"/>
    <w:semiHidden/>
    <w:rsid w:val="0081733C"/>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A4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300BF"/>
    <w:rPr>
      <w:rFonts w:ascii="Arial" w:eastAsiaTheme="majorEastAsia" w:hAnsi="Arial" w:cstheme="majorBidi"/>
      <w:b/>
      <w:bCs/>
      <w:sz w:val="28"/>
      <w:szCs w:val="28"/>
      <w:lang w:eastAsia="cs-CZ"/>
    </w:rPr>
  </w:style>
  <w:style w:type="character" w:customStyle="1" w:styleId="Nadpis2Char">
    <w:name w:val="Nadpis 2 Char"/>
    <w:basedOn w:val="Standardnpsmoodstavce"/>
    <w:link w:val="Nadpis2"/>
    <w:uiPriority w:val="9"/>
    <w:rsid w:val="00F300BF"/>
    <w:rPr>
      <w:rFonts w:ascii="Arial" w:eastAsiaTheme="majorEastAsia" w:hAnsi="Arial" w:cstheme="majorBidi"/>
      <w:b/>
      <w:bCs/>
      <w:sz w:val="26"/>
      <w:szCs w:val="26"/>
      <w:lang w:eastAsia="cs-CZ"/>
    </w:rPr>
  </w:style>
  <w:style w:type="character" w:customStyle="1" w:styleId="Nadpis3Char">
    <w:name w:val="Nadpis 3 Char"/>
    <w:basedOn w:val="Standardnpsmoodstavce"/>
    <w:link w:val="Nadpis3"/>
    <w:uiPriority w:val="9"/>
    <w:rsid w:val="00F300BF"/>
    <w:rPr>
      <w:rFonts w:ascii="Arial" w:eastAsiaTheme="majorEastAsia" w:hAnsi="Arial" w:cstheme="majorBidi"/>
      <w:b/>
      <w:bCs/>
      <w:sz w:val="20"/>
      <w:szCs w:val="20"/>
      <w:lang w:eastAsia="cs-CZ"/>
    </w:rPr>
  </w:style>
  <w:style w:type="paragraph" w:styleId="Nzev">
    <w:name w:val="Title"/>
    <w:basedOn w:val="Normln"/>
    <w:next w:val="Normln"/>
    <w:link w:val="NzevChar"/>
    <w:uiPriority w:val="10"/>
    <w:qFormat/>
    <w:rsid w:val="00111D7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11D78"/>
    <w:rPr>
      <w:rFonts w:ascii="Arial" w:eastAsiaTheme="majorEastAsia" w:hAnsi="Arial" w:cstheme="majorBidi"/>
      <w:color w:val="17365D" w:themeColor="text2" w:themeShade="BF"/>
      <w:spacing w:val="5"/>
      <w:kern w:val="28"/>
      <w:sz w:val="52"/>
      <w:szCs w:val="52"/>
      <w:lang w:eastAsia="cs-CZ"/>
    </w:rPr>
  </w:style>
  <w:style w:type="paragraph" w:styleId="Podtitul">
    <w:name w:val="Subtitle"/>
    <w:basedOn w:val="Normln"/>
    <w:next w:val="Normln"/>
    <w:link w:val="PodtitulChar"/>
    <w:uiPriority w:val="11"/>
    <w:qFormat/>
    <w:rsid w:val="00111D78"/>
    <w:pPr>
      <w:numPr>
        <w:ilvl w:val="1"/>
      </w:numPr>
    </w:pPr>
    <w:rPr>
      <w:rFonts w:eastAsiaTheme="majorEastAsia"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11D78"/>
    <w:rPr>
      <w:rFonts w:ascii="Arial" w:eastAsiaTheme="majorEastAsia" w:hAnsi="Arial" w:cstheme="majorBidi"/>
      <w:i/>
      <w:iCs/>
      <w:color w:val="4F81BD" w:themeColor="accent1"/>
      <w:spacing w:val="15"/>
      <w:sz w:val="24"/>
      <w:szCs w:val="24"/>
      <w:lang w:eastAsia="cs-CZ"/>
    </w:rPr>
  </w:style>
  <w:style w:type="character" w:styleId="Zdraznnjemn">
    <w:name w:val="Subtle Emphasis"/>
    <w:basedOn w:val="Standardnpsmoodstavce"/>
    <w:uiPriority w:val="19"/>
    <w:qFormat/>
    <w:rsid w:val="00111D78"/>
    <w:rPr>
      <w:rFonts w:ascii="Arial" w:hAnsi="Arial"/>
      <w:i/>
      <w:iCs/>
      <w:color w:val="808080" w:themeColor="text1" w:themeTint="7F"/>
    </w:rPr>
  </w:style>
  <w:style w:type="paragraph" w:styleId="Bezmezer">
    <w:name w:val="No Spacing"/>
    <w:uiPriority w:val="1"/>
    <w:qFormat/>
    <w:rsid w:val="00111D78"/>
    <w:pPr>
      <w:spacing w:after="0" w:line="240" w:lineRule="auto"/>
    </w:pPr>
    <w:rPr>
      <w:rFonts w:ascii="Arial" w:eastAsia="Times New Roman" w:hAnsi="Arial" w:cs="Times New Roman"/>
      <w:sz w:val="20"/>
      <w:szCs w:val="20"/>
      <w:lang w:eastAsia="cs-CZ"/>
    </w:rPr>
  </w:style>
  <w:style w:type="character" w:styleId="Zvraznn">
    <w:name w:val="Emphasis"/>
    <w:basedOn w:val="Standardnpsmoodstavce"/>
    <w:uiPriority w:val="20"/>
    <w:qFormat/>
    <w:rsid w:val="005244D5"/>
    <w:rPr>
      <w:i/>
      <w:iCs/>
    </w:rPr>
  </w:style>
  <w:style w:type="paragraph" w:styleId="Odstavecseseznamem">
    <w:name w:val="List Paragraph"/>
    <w:basedOn w:val="Normln"/>
    <w:uiPriority w:val="34"/>
    <w:qFormat/>
    <w:rsid w:val="00FF0F84"/>
    <w:pPr>
      <w:ind w:left="720"/>
      <w:contextualSpacing/>
    </w:pPr>
  </w:style>
  <w:style w:type="paragraph" w:styleId="Revize">
    <w:name w:val="Revision"/>
    <w:hidden/>
    <w:uiPriority w:val="99"/>
    <w:semiHidden/>
    <w:rsid w:val="004E1AED"/>
    <w:pPr>
      <w:spacing w:after="0" w:line="240" w:lineRule="auto"/>
    </w:pPr>
    <w:rPr>
      <w:rFonts w:ascii="Arial" w:eastAsia="Times New Roman" w:hAnsi="Arial" w:cs="Times New Roman"/>
      <w:sz w:val="20"/>
      <w:szCs w:val="20"/>
      <w:lang w:eastAsia="cs-CZ"/>
    </w:rPr>
  </w:style>
  <w:style w:type="numbering" w:customStyle="1" w:styleId="Bezseznamu1">
    <w:name w:val="Bez seznamu1"/>
    <w:next w:val="Bezseznamu"/>
    <w:uiPriority w:val="99"/>
    <w:semiHidden/>
    <w:unhideWhenUsed/>
    <w:rsid w:val="00D455D1"/>
  </w:style>
  <w:style w:type="character" w:styleId="Hypertextovodkaz">
    <w:name w:val="Hyperlink"/>
    <w:basedOn w:val="Standardnpsmoodstavce"/>
    <w:uiPriority w:val="99"/>
    <w:semiHidden/>
    <w:unhideWhenUsed/>
    <w:rsid w:val="00282889"/>
    <w:rPr>
      <w:color w:val="0000FF"/>
      <w:u w:val="single"/>
    </w:rPr>
  </w:style>
  <w:style w:type="character" w:styleId="Sledovanodkaz">
    <w:name w:val="FollowedHyperlink"/>
    <w:basedOn w:val="Standardnpsmoodstavce"/>
    <w:uiPriority w:val="99"/>
    <w:semiHidden/>
    <w:unhideWhenUsed/>
    <w:rsid w:val="00282889"/>
    <w:rPr>
      <w:color w:val="800080"/>
      <w:u w:val="single"/>
    </w:rPr>
  </w:style>
  <w:style w:type="paragraph" w:customStyle="1" w:styleId="xl128">
    <w:name w:val="xl128"/>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9">
    <w:name w:val="xl129"/>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0">
    <w:name w:val="xl130"/>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1">
    <w:name w:val="xl131"/>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2">
    <w:name w:val="xl132"/>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3">
    <w:name w:val="xl133"/>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4">
    <w:name w:val="xl134"/>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5">
    <w:name w:val="xl135"/>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6">
    <w:name w:val="xl136"/>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7">
    <w:name w:val="xl137"/>
    <w:basedOn w:val="Normln"/>
    <w:rsid w:val="002828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38">
    <w:name w:val="xl138"/>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39">
    <w:name w:val="xl139"/>
    <w:basedOn w:val="Normln"/>
    <w:rsid w:val="002828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rPr>
  </w:style>
  <w:style w:type="paragraph" w:customStyle="1" w:styleId="xl140">
    <w:name w:val="xl140"/>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41">
    <w:name w:val="xl141"/>
    <w:basedOn w:val="Normln"/>
    <w:rsid w:val="002828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42">
    <w:name w:val="xl142"/>
    <w:basedOn w:val="Normln"/>
    <w:rsid w:val="0028288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paragraph" w:customStyle="1" w:styleId="xl143">
    <w:name w:val="xl143"/>
    <w:basedOn w:val="Normln"/>
    <w:rsid w:val="002828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color w:val="000000"/>
    </w:rPr>
  </w:style>
  <w:style w:type="paragraph" w:customStyle="1" w:styleId="xl144">
    <w:name w:val="xl144"/>
    <w:basedOn w:val="Normln"/>
    <w:rsid w:val="002828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rPr>
  </w:style>
  <w:style w:type="numbering" w:customStyle="1" w:styleId="Bezseznamu2">
    <w:name w:val="Bez seznamu2"/>
    <w:next w:val="Bezseznamu"/>
    <w:uiPriority w:val="99"/>
    <w:semiHidden/>
    <w:unhideWhenUsed/>
    <w:rsid w:val="00D944D2"/>
  </w:style>
  <w:style w:type="table" w:customStyle="1" w:styleId="Mkatabulky1">
    <w:name w:val="Mřížka tabulky1"/>
    <w:basedOn w:val="Normlntabulka"/>
    <w:next w:val="Mkatabulky"/>
    <w:uiPriority w:val="59"/>
    <w:rsid w:val="00D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D944D2"/>
  </w:style>
  <w:style w:type="paragraph" w:customStyle="1" w:styleId="xl126">
    <w:name w:val="xl126"/>
    <w:basedOn w:val="Normln"/>
    <w:rsid w:val="00D94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7">
    <w:name w:val="xl127"/>
    <w:basedOn w:val="Normln"/>
    <w:rsid w:val="00D94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styleId="Textpoznpodarou">
    <w:name w:val="footnote text"/>
    <w:basedOn w:val="Normln"/>
    <w:link w:val="TextpoznpodarouChar"/>
    <w:uiPriority w:val="99"/>
    <w:semiHidden/>
    <w:unhideWhenUsed/>
    <w:rsid w:val="00FC0A33"/>
  </w:style>
  <w:style w:type="character" w:customStyle="1" w:styleId="TextpoznpodarouChar">
    <w:name w:val="Text pozn. pod čarou Char"/>
    <w:basedOn w:val="Standardnpsmoodstavce"/>
    <w:link w:val="Textpoznpodarou"/>
    <w:uiPriority w:val="99"/>
    <w:semiHidden/>
    <w:rsid w:val="00FC0A3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FC0A33"/>
    <w:rPr>
      <w:vertAlign w:val="superscript"/>
    </w:rPr>
  </w:style>
  <w:style w:type="paragraph" w:styleId="Textvysvtlivek">
    <w:name w:val="endnote text"/>
    <w:basedOn w:val="Normln"/>
    <w:link w:val="TextvysvtlivekChar"/>
    <w:uiPriority w:val="99"/>
    <w:semiHidden/>
    <w:unhideWhenUsed/>
    <w:rsid w:val="00F644A3"/>
  </w:style>
  <w:style w:type="character" w:customStyle="1" w:styleId="TextvysvtlivekChar">
    <w:name w:val="Text vysvětlivek Char"/>
    <w:basedOn w:val="Standardnpsmoodstavce"/>
    <w:link w:val="Textvysvtlivek"/>
    <w:uiPriority w:val="99"/>
    <w:semiHidden/>
    <w:rsid w:val="00F644A3"/>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F64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71">
      <w:bodyDiv w:val="1"/>
      <w:marLeft w:val="0"/>
      <w:marRight w:val="0"/>
      <w:marTop w:val="0"/>
      <w:marBottom w:val="0"/>
      <w:divBdr>
        <w:top w:val="none" w:sz="0" w:space="0" w:color="auto"/>
        <w:left w:val="none" w:sz="0" w:space="0" w:color="auto"/>
        <w:bottom w:val="none" w:sz="0" w:space="0" w:color="auto"/>
        <w:right w:val="none" w:sz="0" w:space="0" w:color="auto"/>
      </w:divBdr>
    </w:div>
    <w:div w:id="7488113">
      <w:bodyDiv w:val="1"/>
      <w:marLeft w:val="0"/>
      <w:marRight w:val="0"/>
      <w:marTop w:val="0"/>
      <w:marBottom w:val="0"/>
      <w:divBdr>
        <w:top w:val="none" w:sz="0" w:space="0" w:color="auto"/>
        <w:left w:val="none" w:sz="0" w:space="0" w:color="auto"/>
        <w:bottom w:val="none" w:sz="0" w:space="0" w:color="auto"/>
        <w:right w:val="none" w:sz="0" w:space="0" w:color="auto"/>
      </w:divBdr>
    </w:div>
    <w:div w:id="29258858">
      <w:bodyDiv w:val="1"/>
      <w:marLeft w:val="0"/>
      <w:marRight w:val="0"/>
      <w:marTop w:val="0"/>
      <w:marBottom w:val="0"/>
      <w:divBdr>
        <w:top w:val="none" w:sz="0" w:space="0" w:color="auto"/>
        <w:left w:val="none" w:sz="0" w:space="0" w:color="auto"/>
        <w:bottom w:val="none" w:sz="0" w:space="0" w:color="auto"/>
        <w:right w:val="none" w:sz="0" w:space="0" w:color="auto"/>
      </w:divBdr>
    </w:div>
    <w:div w:id="35012519">
      <w:bodyDiv w:val="1"/>
      <w:marLeft w:val="0"/>
      <w:marRight w:val="0"/>
      <w:marTop w:val="0"/>
      <w:marBottom w:val="0"/>
      <w:divBdr>
        <w:top w:val="none" w:sz="0" w:space="0" w:color="auto"/>
        <w:left w:val="none" w:sz="0" w:space="0" w:color="auto"/>
        <w:bottom w:val="none" w:sz="0" w:space="0" w:color="auto"/>
        <w:right w:val="none" w:sz="0" w:space="0" w:color="auto"/>
      </w:divBdr>
    </w:div>
    <w:div w:id="35080396">
      <w:bodyDiv w:val="1"/>
      <w:marLeft w:val="0"/>
      <w:marRight w:val="0"/>
      <w:marTop w:val="0"/>
      <w:marBottom w:val="0"/>
      <w:divBdr>
        <w:top w:val="none" w:sz="0" w:space="0" w:color="auto"/>
        <w:left w:val="none" w:sz="0" w:space="0" w:color="auto"/>
        <w:bottom w:val="none" w:sz="0" w:space="0" w:color="auto"/>
        <w:right w:val="none" w:sz="0" w:space="0" w:color="auto"/>
      </w:divBdr>
    </w:div>
    <w:div w:id="53941838">
      <w:bodyDiv w:val="1"/>
      <w:marLeft w:val="0"/>
      <w:marRight w:val="0"/>
      <w:marTop w:val="0"/>
      <w:marBottom w:val="0"/>
      <w:divBdr>
        <w:top w:val="none" w:sz="0" w:space="0" w:color="auto"/>
        <w:left w:val="none" w:sz="0" w:space="0" w:color="auto"/>
        <w:bottom w:val="none" w:sz="0" w:space="0" w:color="auto"/>
        <w:right w:val="none" w:sz="0" w:space="0" w:color="auto"/>
      </w:divBdr>
    </w:div>
    <w:div w:id="68381763">
      <w:bodyDiv w:val="1"/>
      <w:marLeft w:val="0"/>
      <w:marRight w:val="0"/>
      <w:marTop w:val="0"/>
      <w:marBottom w:val="0"/>
      <w:divBdr>
        <w:top w:val="none" w:sz="0" w:space="0" w:color="auto"/>
        <w:left w:val="none" w:sz="0" w:space="0" w:color="auto"/>
        <w:bottom w:val="none" w:sz="0" w:space="0" w:color="auto"/>
        <w:right w:val="none" w:sz="0" w:space="0" w:color="auto"/>
      </w:divBdr>
    </w:div>
    <w:div w:id="69544621">
      <w:bodyDiv w:val="1"/>
      <w:marLeft w:val="0"/>
      <w:marRight w:val="0"/>
      <w:marTop w:val="0"/>
      <w:marBottom w:val="0"/>
      <w:divBdr>
        <w:top w:val="none" w:sz="0" w:space="0" w:color="auto"/>
        <w:left w:val="none" w:sz="0" w:space="0" w:color="auto"/>
        <w:bottom w:val="none" w:sz="0" w:space="0" w:color="auto"/>
        <w:right w:val="none" w:sz="0" w:space="0" w:color="auto"/>
      </w:divBdr>
    </w:div>
    <w:div w:id="78987322">
      <w:bodyDiv w:val="1"/>
      <w:marLeft w:val="0"/>
      <w:marRight w:val="0"/>
      <w:marTop w:val="0"/>
      <w:marBottom w:val="0"/>
      <w:divBdr>
        <w:top w:val="none" w:sz="0" w:space="0" w:color="auto"/>
        <w:left w:val="none" w:sz="0" w:space="0" w:color="auto"/>
        <w:bottom w:val="none" w:sz="0" w:space="0" w:color="auto"/>
        <w:right w:val="none" w:sz="0" w:space="0" w:color="auto"/>
      </w:divBdr>
    </w:div>
    <w:div w:id="100999674">
      <w:bodyDiv w:val="1"/>
      <w:marLeft w:val="0"/>
      <w:marRight w:val="0"/>
      <w:marTop w:val="0"/>
      <w:marBottom w:val="0"/>
      <w:divBdr>
        <w:top w:val="none" w:sz="0" w:space="0" w:color="auto"/>
        <w:left w:val="none" w:sz="0" w:space="0" w:color="auto"/>
        <w:bottom w:val="none" w:sz="0" w:space="0" w:color="auto"/>
        <w:right w:val="none" w:sz="0" w:space="0" w:color="auto"/>
      </w:divBdr>
    </w:div>
    <w:div w:id="132796957">
      <w:bodyDiv w:val="1"/>
      <w:marLeft w:val="0"/>
      <w:marRight w:val="0"/>
      <w:marTop w:val="0"/>
      <w:marBottom w:val="0"/>
      <w:divBdr>
        <w:top w:val="none" w:sz="0" w:space="0" w:color="auto"/>
        <w:left w:val="none" w:sz="0" w:space="0" w:color="auto"/>
        <w:bottom w:val="none" w:sz="0" w:space="0" w:color="auto"/>
        <w:right w:val="none" w:sz="0" w:space="0" w:color="auto"/>
      </w:divBdr>
    </w:div>
    <w:div w:id="145707238">
      <w:bodyDiv w:val="1"/>
      <w:marLeft w:val="0"/>
      <w:marRight w:val="0"/>
      <w:marTop w:val="0"/>
      <w:marBottom w:val="0"/>
      <w:divBdr>
        <w:top w:val="none" w:sz="0" w:space="0" w:color="auto"/>
        <w:left w:val="none" w:sz="0" w:space="0" w:color="auto"/>
        <w:bottom w:val="none" w:sz="0" w:space="0" w:color="auto"/>
        <w:right w:val="none" w:sz="0" w:space="0" w:color="auto"/>
      </w:divBdr>
    </w:div>
    <w:div w:id="204486029">
      <w:bodyDiv w:val="1"/>
      <w:marLeft w:val="0"/>
      <w:marRight w:val="0"/>
      <w:marTop w:val="0"/>
      <w:marBottom w:val="0"/>
      <w:divBdr>
        <w:top w:val="none" w:sz="0" w:space="0" w:color="auto"/>
        <w:left w:val="none" w:sz="0" w:space="0" w:color="auto"/>
        <w:bottom w:val="none" w:sz="0" w:space="0" w:color="auto"/>
        <w:right w:val="none" w:sz="0" w:space="0" w:color="auto"/>
      </w:divBdr>
    </w:div>
    <w:div w:id="210314105">
      <w:bodyDiv w:val="1"/>
      <w:marLeft w:val="0"/>
      <w:marRight w:val="0"/>
      <w:marTop w:val="0"/>
      <w:marBottom w:val="0"/>
      <w:divBdr>
        <w:top w:val="none" w:sz="0" w:space="0" w:color="auto"/>
        <w:left w:val="none" w:sz="0" w:space="0" w:color="auto"/>
        <w:bottom w:val="none" w:sz="0" w:space="0" w:color="auto"/>
        <w:right w:val="none" w:sz="0" w:space="0" w:color="auto"/>
      </w:divBdr>
    </w:div>
    <w:div w:id="211814676">
      <w:bodyDiv w:val="1"/>
      <w:marLeft w:val="0"/>
      <w:marRight w:val="0"/>
      <w:marTop w:val="0"/>
      <w:marBottom w:val="0"/>
      <w:divBdr>
        <w:top w:val="none" w:sz="0" w:space="0" w:color="auto"/>
        <w:left w:val="none" w:sz="0" w:space="0" w:color="auto"/>
        <w:bottom w:val="none" w:sz="0" w:space="0" w:color="auto"/>
        <w:right w:val="none" w:sz="0" w:space="0" w:color="auto"/>
      </w:divBdr>
    </w:div>
    <w:div w:id="224411389">
      <w:bodyDiv w:val="1"/>
      <w:marLeft w:val="0"/>
      <w:marRight w:val="0"/>
      <w:marTop w:val="0"/>
      <w:marBottom w:val="0"/>
      <w:divBdr>
        <w:top w:val="none" w:sz="0" w:space="0" w:color="auto"/>
        <w:left w:val="none" w:sz="0" w:space="0" w:color="auto"/>
        <w:bottom w:val="none" w:sz="0" w:space="0" w:color="auto"/>
        <w:right w:val="none" w:sz="0" w:space="0" w:color="auto"/>
      </w:divBdr>
    </w:div>
    <w:div w:id="231046682">
      <w:bodyDiv w:val="1"/>
      <w:marLeft w:val="0"/>
      <w:marRight w:val="0"/>
      <w:marTop w:val="0"/>
      <w:marBottom w:val="0"/>
      <w:divBdr>
        <w:top w:val="none" w:sz="0" w:space="0" w:color="auto"/>
        <w:left w:val="none" w:sz="0" w:space="0" w:color="auto"/>
        <w:bottom w:val="none" w:sz="0" w:space="0" w:color="auto"/>
        <w:right w:val="none" w:sz="0" w:space="0" w:color="auto"/>
      </w:divBdr>
    </w:div>
    <w:div w:id="232281402">
      <w:bodyDiv w:val="1"/>
      <w:marLeft w:val="0"/>
      <w:marRight w:val="0"/>
      <w:marTop w:val="0"/>
      <w:marBottom w:val="0"/>
      <w:divBdr>
        <w:top w:val="none" w:sz="0" w:space="0" w:color="auto"/>
        <w:left w:val="none" w:sz="0" w:space="0" w:color="auto"/>
        <w:bottom w:val="none" w:sz="0" w:space="0" w:color="auto"/>
        <w:right w:val="none" w:sz="0" w:space="0" w:color="auto"/>
      </w:divBdr>
    </w:div>
    <w:div w:id="233928483">
      <w:bodyDiv w:val="1"/>
      <w:marLeft w:val="0"/>
      <w:marRight w:val="0"/>
      <w:marTop w:val="0"/>
      <w:marBottom w:val="0"/>
      <w:divBdr>
        <w:top w:val="none" w:sz="0" w:space="0" w:color="auto"/>
        <w:left w:val="none" w:sz="0" w:space="0" w:color="auto"/>
        <w:bottom w:val="none" w:sz="0" w:space="0" w:color="auto"/>
        <w:right w:val="none" w:sz="0" w:space="0" w:color="auto"/>
      </w:divBdr>
    </w:div>
    <w:div w:id="237248667">
      <w:bodyDiv w:val="1"/>
      <w:marLeft w:val="0"/>
      <w:marRight w:val="0"/>
      <w:marTop w:val="0"/>
      <w:marBottom w:val="0"/>
      <w:divBdr>
        <w:top w:val="none" w:sz="0" w:space="0" w:color="auto"/>
        <w:left w:val="none" w:sz="0" w:space="0" w:color="auto"/>
        <w:bottom w:val="none" w:sz="0" w:space="0" w:color="auto"/>
        <w:right w:val="none" w:sz="0" w:space="0" w:color="auto"/>
      </w:divBdr>
    </w:div>
    <w:div w:id="238757628">
      <w:bodyDiv w:val="1"/>
      <w:marLeft w:val="0"/>
      <w:marRight w:val="0"/>
      <w:marTop w:val="0"/>
      <w:marBottom w:val="0"/>
      <w:divBdr>
        <w:top w:val="none" w:sz="0" w:space="0" w:color="auto"/>
        <w:left w:val="none" w:sz="0" w:space="0" w:color="auto"/>
        <w:bottom w:val="none" w:sz="0" w:space="0" w:color="auto"/>
        <w:right w:val="none" w:sz="0" w:space="0" w:color="auto"/>
      </w:divBdr>
    </w:div>
    <w:div w:id="242303347">
      <w:bodyDiv w:val="1"/>
      <w:marLeft w:val="0"/>
      <w:marRight w:val="0"/>
      <w:marTop w:val="0"/>
      <w:marBottom w:val="0"/>
      <w:divBdr>
        <w:top w:val="none" w:sz="0" w:space="0" w:color="auto"/>
        <w:left w:val="none" w:sz="0" w:space="0" w:color="auto"/>
        <w:bottom w:val="none" w:sz="0" w:space="0" w:color="auto"/>
        <w:right w:val="none" w:sz="0" w:space="0" w:color="auto"/>
      </w:divBdr>
    </w:div>
    <w:div w:id="246037060">
      <w:bodyDiv w:val="1"/>
      <w:marLeft w:val="0"/>
      <w:marRight w:val="0"/>
      <w:marTop w:val="0"/>
      <w:marBottom w:val="0"/>
      <w:divBdr>
        <w:top w:val="none" w:sz="0" w:space="0" w:color="auto"/>
        <w:left w:val="none" w:sz="0" w:space="0" w:color="auto"/>
        <w:bottom w:val="none" w:sz="0" w:space="0" w:color="auto"/>
        <w:right w:val="none" w:sz="0" w:space="0" w:color="auto"/>
      </w:divBdr>
    </w:div>
    <w:div w:id="258178721">
      <w:bodyDiv w:val="1"/>
      <w:marLeft w:val="0"/>
      <w:marRight w:val="0"/>
      <w:marTop w:val="0"/>
      <w:marBottom w:val="0"/>
      <w:divBdr>
        <w:top w:val="none" w:sz="0" w:space="0" w:color="auto"/>
        <w:left w:val="none" w:sz="0" w:space="0" w:color="auto"/>
        <w:bottom w:val="none" w:sz="0" w:space="0" w:color="auto"/>
        <w:right w:val="none" w:sz="0" w:space="0" w:color="auto"/>
      </w:divBdr>
    </w:div>
    <w:div w:id="266884969">
      <w:bodyDiv w:val="1"/>
      <w:marLeft w:val="0"/>
      <w:marRight w:val="0"/>
      <w:marTop w:val="0"/>
      <w:marBottom w:val="0"/>
      <w:divBdr>
        <w:top w:val="none" w:sz="0" w:space="0" w:color="auto"/>
        <w:left w:val="none" w:sz="0" w:space="0" w:color="auto"/>
        <w:bottom w:val="none" w:sz="0" w:space="0" w:color="auto"/>
        <w:right w:val="none" w:sz="0" w:space="0" w:color="auto"/>
      </w:divBdr>
    </w:div>
    <w:div w:id="273950068">
      <w:bodyDiv w:val="1"/>
      <w:marLeft w:val="0"/>
      <w:marRight w:val="0"/>
      <w:marTop w:val="0"/>
      <w:marBottom w:val="0"/>
      <w:divBdr>
        <w:top w:val="none" w:sz="0" w:space="0" w:color="auto"/>
        <w:left w:val="none" w:sz="0" w:space="0" w:color="auto"/>
        <w:bottom w:val="none" w:sz="0" w:space="0" w:color="auto"/>
        <w:right w:val="none" w:sz="0" w:space="0" w:color="auto"/>
      </w:divBdr>
    </w:div>
    <w:div w:id="279192063">
      <w:bodyDiv w:val="1"/>
      <w:marLeft w:val="0"/>
      <w:marRight w:val="0"/>
      <w:marTop w:val="0"/>
      <w:marBottom w:val="0"/>
      <w:divBdr>
        <w:top w:val="none" w:sz="0" w:space="0" w:color="auto"/>
        <w:left w:val="none" w:sz="0" w:space="0" w:color="auto"/>
        <w:bottom w:val="none" w:sz="0" w:space="0" w:color="auto"/>
        <w:right w:val="none" w:sz="0" w:space="0" w:color="auto"/>
      </w:divBdr>
    </w:div>
    <w:div w:id="288975316">
      <w:bodyDiv w:val="1"/>
      <w:marLeft w:val="0"/>
      <w:marRight w:val="0"/>
      <w:marTop w:val="0"/>
      <w:marBottom w:val="0"/>
      <w:divBdr>
        <w:top w:val="none" w:sz="0" w:space="0" w:color="auto"/>
        <w:left w:val="none" w:sz="0" w:space="0" w:color="auto"/>
        <w:bottom w:val="none" w:sz="0" w:space="0" w:color="auto"/>
        <w:right w:val="none" w:sz="0" w:space="0" w:color="auto"/>
      </w:divBdr>
    </w:div>
    <w:div w:id="290093992">
      <w:bodyDiv w:val="1"/>
      <w:marLeft w:val="0"/>
      <w:marRight w:val="0"/>
      <w:marTop w:val="0"/>
      <w:marBottom w:val="0"/>
      <w:divBdr>
        <w:top w:val="none" w:sz="0" w:space="0" w:color="auto"/>
        <w:left w:val="none" w:sz="0" w:space="0" w:color="auto"/>
        <w:bottom w:val="none" w:sz="0" w:space="0" w:color="auto"/>
        <w:right w:val="none" w:sz="0" w:space="0" w:color="auto"/>
      </w:divBdr>
    </w:div>
    <w:div w:id="292634185">
      <w:bodyDiv w:val="1"/>
      <w:marLeft w:val="0"/>
      <w:marRight w:val="0"/>
      <w:marTop w:val="0"/>
      <w:marBottom w:val="0"/>
      <w:divBdr>
        <w:top w:val="none" w:sz="0" w:space="0" w:color="auto"/>
        <w:left w:val="none" w:sz="0" w:space="0" w:color="auto"/>
        <w:bottom w:val="none" w:sz="0" w:space="0" w:color="auto"/>
        <w:right w:val="none" w:sz="0" w:space="0" w:color="auto"/>
      </w:divBdr>
    </w:div>
    <w:div w:id="332731624">
      <w:bodyDiv w:val="1"/>
      <w:marLeft w:val="0"/>
      <w:marRight w:val="0"/>
      <w:marTop w:val="0"/>
      <w:marBottom w:val="0"/>
      <w:divBdr>
        <w:top w:val="none" w:sz="0" w:space="0" w:color="auto"/>
        <w:left w:val="none" w:sz="0" w:space="0" w:color="auto"/>
        <w:bottom w:val="none" w:sz="0" w:space="0" w:color="auto"/>
        <w:right w:val="none" w:sz="0" w:space="0" w:color="auto"/>
      </w:divBdr>
    </w:div>
    <w:div w:id="346365775">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71462617">
      <w:bodyDiv w:val="1"/>
      <w:marLeft w:val="0"/>
      <w:marRight w:val="0"/>
      <w:marTop w:val="0"/>
      <w:marBottom w:val="0"/>
      <w:divBdr>
        <w:top w:val="none" w:sz="0" w:space="0" w:color="auto"/>
        <w:left w:val="none" w:sz="0" w:space="0" w:color="auto"/>
        <w:bottom w:val="none" w:sz="0" w:space="0" w:color="auto"/>
        <w:right w:val="none" w:sz="0" w:space="0" w:color="auto"/>
      </w:divBdr>
    </w:div>
    <w:div w:id="377894651">
      <w:bodyDiv w:val="1"/>
      <w:marLeft w:val="0"/>
      <w:marRight w:val="0"/>
      <w:marTop w:val="0"/>
      <w:marBottom w:val="0"/>
      <w:divBdr>
        <w:top w:val="none" w:sz="0" w:space="0" w:color="auto"/>
        <w:left w:val="none" w:sz="0" w:space="0" w:color="auto"/>
        <w:bottom w:val="none" w:sz="0" w:space="0" w:color="auto"/>
        <w:right w:val="none" w:sz="0" w:space="0" w:color="auto"/>
      </w:divBdr>
    </w:div>
    <w:div w:id="388724787">
      <w:bodyDiv w:val="1"/>
      <w:marLeft w:val="0"/>
      <w:marRight w:val="0"/>
      <w:marTop w:val="0"/>
      <w:marBottom w:val="0"/>
      <w:divBdr>
        <w:top w:val="none" w:sz="0" w:space="0" w:color="auto"/>
        <w:left w:val="none" w:sz="0" w:space="0" w:color="auto"/>
        <w:bottom w:val="none" w:sz="0" w:space="0" w:color="auto"/>
        <w:right w:val="none" w:sz="0" w:space="0" w:color="auto"/>
      </w:divBdr>
    </w:div>
    <w:div w:id="406270068">
      <w:bodyDiv w:val="1"/>
      <w:marLeft w:val="0"/>
      <w:marRight w:val="0"/>
      <w:marTop w:val="0"/>
      <w:marBottom w:val="0"/>
      <w:divBdr>
        <w:top w:val="none" w:sz="0" w:space="0" w:color="auto"/>
        <w:left w:val="none" w:sz="0" w:space="0" w:color="auto"/>
        <w:bottom w:val="none" w:sz="0" w:space="0" w:color="auto"/>
        <w:right w:val="none" w:sz="0" w:space="0" w:color="auto"/>
      </w:divBdr>
    </w:div>
    <w:div w:id="411389689">
      <w:bodyDiv w:val="1"/>
      <w:marLeft w:val="0"/>
      <w:marRight w:val="0"/>
      <w:marTop w:val="0"/>
      <w:marBottom w:val="0"/>
      <w:divBdr>
        <w:top w:val="none" w:sz="0" w:space="0" w:color="auto"/>
        <w:left w:val="none" w:sz="0" w:space="0" w:color="auto"/>
        <w:bottom w:val="none" w:sz="0" w:space="0" w:color="auto"/>
        <w:right w:val="none" w:sz="0" w:space="0" w:color="auto"/>
      </w:divBdr>
    </w:div>
    <w:div w:id="436604742">
      <w:bodyDiv w:val="1"/>
      <w:marLeft w:val="0"/>
      <w:marRight w:val="0"/>
      <w:marTop w:val="0"/>
      <w:marBottom w:val="0"/>
      <w:divBdr>
        <w:top w:val="none" w:sz="0" w:space="0" w:color="auto"/>
        <w:left w:val="none" w:sz="0" w:space="0" w:color="auto"/>
        <w:bottom w:val="none" w:sz="0" w:space="0" w:color="auto"/>
        <w:right w:val="none" w:sz="0" w:space="0" w:color="auto"/>
      </w:divBdr>
    </w:div>
    <w:div w:id="450368209">
      <w:bodyDiv w:val="1"/>
      <w:marLeft w:val="0"/>
      <w:marRight w:val="0"/>
      <w:marTop w:val="0"/>
      <w:marBottom w:val="0"/>
      <w:divBdr>
        <w:top w:val="none" w:sz="0" w:space="0" w:color="auto"/>
        <w:left w:val="none" w:sz="0" w:space="0" w:color="auto"/>
        <w:bottom w:val="none" w:sz="0" w:space="0" w:color="auto"/>
        <w:right w:val="none" w:sz="0" w:space="0" w:color="auto"/>
      </w:divBdr>
    </w:div>
    <w:div w:id="522010819">
      <w:bodyDiv w:val="1"/>
      <w:marLeft w:val="0"/>
      <w:marRight w:val="0"/>
      <w:marTop w:val="0"/>
      <w:marBottom w:val="0"/>
      <w:divBdr>
        <w:top w:val="none" w:sz="0" w:space="0" w:color="auto"/>
        <w:left w:val="none" w:sz="0" w:space="0" w:color="auto"/>
        <w:bottom w:val="none" w:sz="0" w:space="0" w:color="auto"/>
        <w:right w:val="none" w:sz="0" w:space="0" w:color="auto"/>
      </w:divBdr>
    </w:div>
    <w:div w:id="531304199">
      <w:bodyDiv w:val="1"/>
      <w:marLeft w:val="0"/>
      <w:marRight w:val="0"/>
      <w:marTop w:val="0"/>
      <w:marBottom w:val="0"/>
      <w:divBdr>
        <w:top w:val="none" w:sz="0" w:space="0" w:color="auto"/>
        <w:left w:val="none" w:sz="0" w:space="0" w:color="auto"/>
        <w:bottom w:val="none" w:sz="0" w:space="0" w:color="auto"/>
        <w:right w:val="none" w:sz="0" w:space="0" w:color="auto"/>
      </w:divBdr>
    </w:div>
    <w:div w:id="532109756">
      <w:bodyDiv w:val="1"/>
      <w:marLeft w:val="0"/>
      <w:marRight w:val="0"/>
      <w:marTop w:val="0"/>
      <w:marBottom w:val="0"/>
      <w:divBdr>
        <w:top w:val="none" w:sz="0" w:space="0" w:color="auto"/>
        <w:left w:val="none" w:sz="0" w:space="0" w:color="auto"/>
        <w:bottom w:val="none" w:sz="0" w:space="0" w:color="auto"/>
        <w:right w:val="none" w:sz="0" w:space="0" w:color="auto"/>
      </w:divBdr>
    </w:div>
    <w:div w:id="539246927">
      <w:bodyDiv w:val="1"/>
      <w:marLeft w:val="0"/>
      <w:marRight w:val="0"/>
      <w:marTop w:val="0"/>
      <w:marBottom w:val="0"/>
      <w:divBdr>
        <w:top w:val="none" w:sz="0" w:space="0" w:color="auto"/>
        <w:left w:val="none" w:sz="0" w:space="0" w:color="auto"/>
        <w:bottom w:val="none" w:sz="0" w:space="0" w:color="auto"/>
        <w:right w:val="none" w:sz="0" w:space="0" w:color="auto"/>
      </w:divBdr>
    </w:div>
    <w:div w:id="552615868">
      <w:bodyDiv w:val="1"/>
      <w:marLeft w:val="0"/>
      <w:marRight w:val="0"/>
      <w:marTop w:val="0"/>
      <w:marBottom w:val="0"/>
      <w:divBdr>
        <w:top w:val="none" w:sz="0" w:space="0" w:color="auto"/>
        <w:left w:val="none" w:sz="0" w:space="0" w:color="auto"/>
        <w:bottom w:val="none" w:sz="0" w:space="0" w:color="auto"/>
        <w:right w:val="none" w:sz="0" w:space="0" w:color="auto"/>
      </w:divBdr>
    </w:div>
    <w:div w:id="563443475">
      <w:bodyDiv w:val="1"/>
      <w:marLeft w:val="0"/>
      <w:marRight w:val="0"/>
      <w:marTop w:val="0"/>
      <w:marBottom w:val="0"/>
      <w:divBdr>
        <w:top w:val="none" w:sz="0" w:space="0" w:color="auto"/>
        <w:left w:val="none" w:sz="0" w:space="0" w:color="auto"/>
        <w:bottom w:val="none" w:sz="0" w:space="0" w:color="auto"/>
        <w:right w:val="none" w:sz="0" w:space="0" w:color="auto"/>
      </w:divBdr>
    </w:div>
    <w:div w:id="571046038">
      <w:bodyDiv w:val="1"/>
      <w:marLeft w:val="0"/>
      <w:marRight w:val="0"/>
      <w:marTop w:val="0"/>
      <w:marBottom w:val="0"/>
      <w:divBdr>
        <w:top w:val="none" w:sz="0" w:space="0" w:color="auto"/>
        <w:left w:val="none" w:sz="0" w:space="0" w:color="auto"/>
        <w:bottom w:val="none" w:sz="0" w:space="0" w:color="auto"/>
        <w:right w:val="none" w:sz="0" w:space="0" w:color="auto"/>
      </w:divBdr>
    </w:div>
    <w:div w:id="572929226">
      <w:bodyDiv w:val="1"/>
      <w:marLeft w:val="0"/>
      <w:marRight w:val="0"/>
      <w:marTop w:val="0"/>
      <w:marBottom w:val="0"/>
      <w:divBdr>
        <w:top w:val="none" w:sz="0" w:space="0" w:color="auto"/>
        <w:left w:val="none" w:sz="0" w:space="0" w:color="auto"/>
        <w:bottom w:val="none" w:sz="0" w:space="0" w:color="auto"/>
        <w:right w:val="none" w:sz="0" w:space="0" w:color="auto"/>
      </w:divBdr>
    </w:div>
    <w:div w:id="594484723">
      <w:bodyDiv w:val="1"/>
      <w:marLeft w:val="0"/>
      <w:marRight w:val="0"/>
      <w:marTop w:val="0"/>
      <w:marBottom w:val="0"/>
      <w:divBdr>
        <w:top w:val="none" w:sz="0" w:space="0" w:color="auto"/>
        <w:left w:val="none" w:sz="0" w:space="0" w:color="auto"/>
        <w:bottom w:val="none" w:sz="0" w:space="0" w:color="auto"/>
        <w:right w:val="none" w:sz="0" w:space="0" w:color="auto"/>
      </w:divBdr>
    </w:div>
    <w:div w:id="601374430">
      <w:bodyDiv w:val="1"/>
      <w:marLeft w:val="0"/>
      <w:marRight w:val="0"/>
      <w:marTop w:val="0"/>
      <w:marBottom w:val="0"/>
      <w:divBdr>
        <w:top w:val="none" w:sz="0" w:space="0" w:color="auto"/>
        <w:left w:val="none" w:sz="0" w:space="0" w:color="auto"/>
        <w:bottom w:val="none" w:sz="0" w:space="0" w:color="auto"/>
        <w:right w:val="none" w:sz="0" w:space="0" w:color="auto"/>
      </w:divBdr>
    </w:div>
    <w:div w:id="602690075">
      <w:bodyDiv w:val="1"/>
      <w:marLeft w:val="0"/>
      <w:marRight w:val="0"/>
      <w:marTop w:val="0"/>
      <w:marBottom w:val="0"/>
      <w:divBdr>
        <w:top w:val="none" w:sz="0" w:space="0" w:color="auto"/>
        <w:left w:val="none" w:sz="0" w:space="0" w:color="auto"/>
        <w:bottom w:val="none" w:sz="0" w:space="0" w:color="auto"/>
        <w:right w:val="none" w:sz="0" w:space="0" w:color="auto"/>
      </w:divBdr>
    </w:div>
    <w:div w:id="637882775">
      <w:bodyDiv w:val="1"/>
      <w:marLeft w:val="0"/>
      <w:marRight w:val="0"/>
      <w:marTop w:val="0"/>
      <w:marBottom w:val="0"/>
      <w:divBdr>
        <w:top w:val="none" w:sz="0" w:space="0" w:color="auto"/>
        <w:left w:val="none" w:sz="0" w:space="0" w:color="auto"/>
        <w:bottom w:val="none" w:sz="0" w:space="0" w:color="auto"/>
        <w:right w:val="none" w:sz="0" w:space="0" w:color="auto"/>
      </w:divBdr>
    </w:div>
    <w:div w:id="645741491">
      <w:bodyDiv w:val="1"/>
      <w:marLeft w:val="0"/>
      <w:marRight w:val="0"/>
      <w:marTop w:val="0"/>
      <w:marBottom w:val="0"/>
      <w:divBdr>
        <w:top w:val="none" w:sz="0" w:space="0" w:color="auto"/>
        <w:left w:val="none" w:sz="0" w:space="0" w:color="auto"/>
        <w:bottom w:val="none" w:sz="0" w:space="0" w:color="auto"/>
        <w:right w:val="none" w:sz="0" w:space="0" w:color="auto"/>
      </w:divBdr>
    </w:div>
    <w:div w:id="650789241">
      <w:bodyDiv w:val="1"/>
      <w:marLeft w:val="0"/>
      <w:marRight w:val="0"/>
      <w:marTop w:val="0"/>
      <w:marBottom w:val="0"/>
      <w:divBdr>
        <w:top w:val="none" w:sz="0" w:space="0" w:color="auto"/>
        <w:left w:val="none" w:sz="0" w:space="0" w:color="auto"/>
        <w:bottom w:val="none" w:sz="0" w:space="0" w:color="auto"/>
        <w:right w:val="none" w:sz="0" w:space="0" w:color="auto"/>
      </w:divBdr>
    </w:div>
    <w:div w:id="659577311">
      <w:bodyDiv w:val="1"/>
      <w:marLeft w:val="0"/>
      <w:marRight w:val="0"/>
      <w:marTop w:val="0"/>
      <w:marBottom w:val="0"/>
      <w:divBdr>
        <w:top w:val="none" w:sz="0" w:space="0" w:color="auto"/>
        <w:left w:val="none" w:sz="0" w:space="0" w:color="auto"/>
        <w:bottom w:val="none" w:sz="0" w:space="0" w:color="auto"/>
        <w:right w:val="none" w:sz="0" w:space="0" w:color="auto"/>
      </w:divBdr>
    </w:div>
    <w:div w:id="661468007">
      <w:bodyDiv w:val="1"/>
      <w:marLeft w:val="0"/>
      <w:marRight w:val="0"/>
      <w:marTop w:val="0"/>
      <w:marBottom w:val="0"/>
      <w:divBdr>
        <w:top w:val="none" w:sz="0" w:space="0" w:color="auto"/>
        <w:left w:val="none" w:sz="0" w:space="0" w:color="auto"/>
        <w:bottom w:val="none" w:sz="0" w:space="0" w:color="auto"/>
        <w:right w:val="none" w:sz="0" w:space="0" w:color="auto"/>
      </w:divBdr>
    </w:div>
    <w:div w:id="681467391">
      <w:bodyDiv w:val="1"/>
      <w:marLeft w:val="0"/>
      <w:marRight w:val="0"/>
      <w:marTop w:val="0"/>
      <w:marBottom w:val="0"/>
      <w:divBdr>
        <w:top w:val="none" w:sz="0" w:space="0" w:color="auto"/>
        <w:left w:val="none" w:sz="0" w:space="0" w:color="auto"/>
        <w:bottom w:val="none" w:sz="0" w:space="0" w:color="auto"/>
        <w:right w:val="none" w:sz="0" w:space="0" w:color="auto"/>
      </w:divBdr>
    </w:div>
    <w:div w:id="685205848">
      <w:bodyDiv w:val="1"/>
      <w:marLeft w:val="0"/>
      <w:marRight w:val="0"/>
      <w:marTop w:val="0"/>
      <w:marBottom w:val="0"/>
      <w:divBdr>
        <w:top w:val="none" w:sz="0" w:space="0" w:color="auto"/>
        <w:left w:val="none" w:sz="0" w:space="0" w:color="auto"/>
        <w:bottom w:val="none" w:sz="0" w:space="0" w:color="auto"/>
        <w:right w:val="none" w:sz="0" w:space="0" w:color="auto"/>
      </w:divBdr>
    </w:div>
    <w:div w:id="685248020">
      <w:bodyDiv w:val="1"/>
      <w:marLeft w:val="0"/>
      <w:marRight w:val="0"/>
      <w:marTop w:val="0"/>
      <w:marBottom w:val="0"/>
      <w:divBdr>
        <w:top w:val="none" w:sz="0" w:space="0" w:color="auto"/>
        <w:left w:val="none" w:sz="0" w:space="0" w:color="auto"/>
        <w:bottom w:val="none" w:sz="0" w:space="0" w:color="auto"/>
        <w:right w:val="none" w:sz="0" w:space="0" w:color="auto"/>
      </w:divBdr>
    </w:div>
    <w:div w:id="696081199">
      <w:bodyDiv w:val="1"/>
      <w:marLeft w:val="0"/>
      <w:marRight w:val="0"/>
      <w:marTop w:val="0"/>
      <w:marBottom w:val="0"/>
      <w:divBdr>
        <w:top w:val="none" w:sz="0" w:space="0" w:color="auto"/>
        <w:left w:val="none" w:sz="0" w:space="0" w:color="auto"/>
        <w:bottom w:val="none" w:sz="0" w:space="0" w:color="auto"/>
        <w:right w:val="none" w:sz="0" w:space="0" w:color="auto"/>
      </w:divBdr>
    </w:div>
    <w:div w:id="704334455">
      <w:bodyDiv w:val="1"/>
      <w:marLeft w:val="0"/>
      <w:marRight w:val="0"/>
      <w:marTop w:val="0"/>
      <w:marBottom w:val="0"/>
      <w:divBdr>
        <w:top w:val="none" w:sz="0" w:space="0" w:color="auto"/>
        <w:left w:val="none" w:sz="0" w:space="0" w:color="auto"/>
        <w:bottom w:val="none" w:sz="0" w:space="0" w:color="auto"/>
        <w:right w:val="none" w:sz="0" w:space="0" w:color="auto"/>
      </w:divBdr>
    </w:div>
    <w:div w:id="712577646">
      <w:bodyDiv w:val="1"/>
      <w:marLeft w:val="0"/>
      <w:marRight w:val="0"/>
      <w:marTop w:val="0"/>
      <w:marBottom w:val="0"/>
      <w:divBdr>
        <w:top w:val="none" w:sz="0" w:space="0" w:color="auto"/>
        <w:left w:val="none" w:sz="0" w:space="0" w:color="auto"/>
        <w:bottom w:val="none" w:sz="0" w:space="0" w:color="auto"/>
        <w:right w:val="none" w:sz="0" w:space="0" w:color="auto"/>
      </w:divBdr>
    </w:div>
    <w:div w:id="738284881">
      <w:bodyDiv w:val="1"/>
      <w:marLeft w:val="0"/>
      <w:marRight w:val="0"/>
      <w:marTop w:val="0"/>
      <w:marBottom w:val="0"/>
      <w:divBdr>
        <w:top w:val="none" w:sz="0" w:space="0" w:color="auto"/>
        <w:left w:val="none" w:sz="0" w:space="0" w:color="auto"/>
        <w:bottom w:val="none" w:sz="0" w:space="0" w:color="auto"/>
        <w:right w:val="none" w:sz="0" w:space="0" w:color="auto"/>
      </w:divBdr>
    </w:div>
    <w:div w:id="759449774">
      <w:bodyDiv w:val="1"/>
      <w:marLeft w:val="0"/>
      <w:marRight w:val="0"/>
      <w:marTop w:val="0"/>
      <w:marBottom w:val="0"/>
      <w:divBdr>
        <w:top w:val="none" w:sz="0" w:space="0" w:color="auto"/>
        <w:left w:val="none" w:sz="0" w:space="0" w:color="auto"/>
        <w:bottom w:val="none" w:sz="0" w:space="0" w:color="auto"/>
        <w:right w:val="none" w:sz="0" w:space="0" w:color="auto"/>
      </w:divBdr>
    </w:div>
    <w:div w:id="767046840">
      <w:bodyDiv w:val="1"/>
      <w:marLeft w:val="0"/>
      <w:marRight w:val="0"/>
      <w:marTop w:val="0"/>
      <w:marBottom w:val="0"/>
      <w:divBdr>
        <w:top w:val="none" w:sz="0" w:space="0" w:color="auto"/>
        <w:left w:val="none" w:sz="0" w:space="0" w:color="auto"/>
        <w:bottom w:val="none" w:sz="0" w:space="0" w:color="auto"/>
        <w:right w:val="none" w:sz="0" w:space="0" w:color="auto"/>
      </w:divBdr>
    </w:div>
    <w:div w:id="772749828">
      <w:bodyDiv w:val="1"/>
      <w:marLeft w:val="0"/>
      <w:marRight w:val="0"/>
      <w:marTop w:val="0"/>
      <w:marBottom w:val="0"/>
      <w:divBdr>
        <w:top w:val="none" w:sz="0" w:space="0" w:color="auto"/>
        <w:left w:val="none" w:sz="0" w:space="0" w:color="auto"/>
        <w:bottom w:val="none" w:sz="0" w:space="0" w:color="auto"/>
        <w:right w:val="none" w:sz="0" w:space="0" w:color="auto"/>
      </w:divBdr>
    </w:div>
    <w:div w:id="776020885">
      <w:bodyDiv w:val="1"/>
      <w:marLeft w:val="0"/>
      <w:marRight w:val="0"/>
      <w:marTop w:val="0"/>
      <w:marBottom w:val="0"/>
      <w:divBdr>
        <w:top w:val="none" w:sz="0" w:space="0" w:color="auto"/>
        <w:left w:val="none" w:sz="0" w:space="0" w:color="auto"/>
        <w:bottom w:val="none" w:sz="0" w:space="0" w:color="auto"/>
        <w:right w:val="none" w:sz="0" w:space="0" w:color="auto"/>
      </w:divBdr>
    </w:div>
    <w:div w:id="821973035">
      <w:bodyDiv w:val="1"/>
      <w:marLeft w:val="0"/>
      <w:marRight w:val="0"/>
      <w:marTop w:val="0"/>
      <w:marBottom w:val="0"/>
      <w:divBdr>
        <w:top w:val="none" w:sz="0" w:space="0" w:color="auto"/>
        <w:left w:val="none" w:sz="0" w:space="0" w:color="auto"/>
        <w:bottom w:val="none" w:sz="0" w:space="0" w:color="auto"/>
        <w:right w:val="none" w:sz="0" w:space="0" w:color="auto"/>
      </w:divBdr>
    </w:div>
    <w:div w:id="825168901">
      <w:bodyDiv w:val="1"/>
      <w:marLeft w:val="0"/>
      <w:marRight w:val="0"/>
      <w:marTop w:val="0"/>
      <w:marBottom w:val="0"/>
      <w:divBdr>
        <w:top w:val="none" w:sz="0" w:space="0" w:color="auto"/>
        <w:left w:val="none" w:sz="0" w:space="0" w:color="auto"/>
        <w:bottom w:val="none" w:sz="0" w:space="0" w:color="auto"/>
        <w:right w:val="none" w:sz="0" w:space="0" w:color="auto"/>
      </w:divBdr>
    </w:div>
    <w:div w:id="832523009">
      <w:bodyDiv w:val="1"/>
      <w:marLeft w:val="0"/>
      <w:marRight w:val="0"/>
      <w:marTop w:val="0"/>
      <w:marBottom w:val="0"/>
      <w:divBdr>
        <w:top w:val="none" w:sz="0" w:space="0" w:color="auto"/>
        <w:left w:val="none" w:sz="0" w:space="0" w:color="auto"/>
        <w:bottom w:val="none" w:sz="0" w:space="0" w:color="auto"/>
        <w:right w:val="none" w:sz="0" w:space="0" w:color="auto"/>
      </w:divBdr>
    </w:div>
    <w:div w:id="833447554">
      <w:bodyDiv w:val="1"/>
      <w:marLeft w:val="0"/>
      <w:marRight w:val="0"/>
      <w:marTop w:val="0"/>
      <w:marBottom w:val="0"/>
      <w:divBdr>
        <w:top w:val="none" w:sz="0" w:space="0" w:color="auto"/>
        <w:left w:val="none" w:sz="0" w:space="0" w:color="auto"/>
        <w:bottom w:val="none" w:sz="0" w:space="0" w:color="auto"/>
        <w:right w:val="none" w:sz="0" w:space="0" w:color="auto"/>
      </w:divBdr>
    </w:div>
    <w:div w:id="872888631">
      <w:bodyDiv w:val="1"/>
      <w:marLeft w:val="0"/>
      <w:marRight w:val="0"/>
      <w:marTop w:val="0"/>
      <w:marBottom w:val="0"/>
      <w:divBdr>
        <w:top w:val="none" w:sz="0" w:space="0" w:color="auto"/>
        <w:left w:val="none" w:sz="0" w:space="0" w:color="auto"/>
        <w:bottom w:val="none" w:sz="0" w:space="0" w:color="auto"/>
        <w:right w:val="none" w:sz="0" w:space="0" w:color="auto"/>
      </w:divBdr>
    </w:div>
    <w:div w:id="876966736">
      <w:bodyDiv w:val="1"/>
      <w:marLeft w:val="0"/>
      <w:marRight w:val="0"/>
      <w:marTop w:val="0"/>
      <w:marBottom w:val="0"/>
      <w:divBdr>
        <w:top w:val="none" w:sz="0" w:space="0" w:color="auto"/>
        <w:left w:val="none" w:sz="0" w:space="0" w:color="auto"/>
        <w:bottom w:val="none" w:sz="0" w:space="0" w:color="auto"/>
        <w:right w:val="none" w:sz="0" w:space="0" w:color="auto"/>
      </w:divBdr>
    </w:div>
    <w:div w:id="881020052">
      <w:bodyDiv w:val="1"/>
      <w:marLeft w:val="0"/>
      <w:marRight w:val="0"/>
      <w:marTop w:val="0"/>
      <w:marBottom w:val="0"/>
      <w:divBdr>
        <w:top w:val="none" w:sz="0" w:space="0" w:color="auto"/>
        <w:left w:val="none" w:sz="0" w:space="0" w:color="auto"/>
        <w:bottom w:val="none" w:sz="0" w:space="0" w:color="auto"/>
        <w:right w:val="none" w:sz="0" w:space="0" w:color="auto"/>
      </w:divBdr>
    </w:div>
    <w:div w:id="907418531">
      <w:bodyDiv w:val="1"/>
      <w:marLeft w:val="0"/>
      <w:marRight w:val="0"/>
      <w:marTop w:val="0"/>
      <w:marBottom w:val="0"/>
      <w:divBdr>
        <w:top w:val="none" w:sz="0" w:space="0" w:color="auto"/>
        <w:left w:val="none" w:sz="0" w:space="0" w:color="auto"/>
        <w:bottom w:val="none" w:sz="0" w:space="0" w:color="auto"/>
        <w:right w:val="none" w:sz="0" w:space="0" w:color="auto"/>
      </w:divBdr>
    </w:div>
    <w:div w:id="908005846">
      <w:bodyDiv w:val="1"/>
      <w:marLeft w:val="0"/>
      <w:marRight w:val="0"/>
      <w:marTop w:val="0"/>
      <w:marBottom w:val="0"/>
      <w:divBdr>
        <w:top w:val="none" w:sz="0" w:space="0" w:color="auto"/>
        <w:left w:val="none" w:sz="0" w:space="0" w:color="auto"/>
        <w:bottom w:val="none" w:sz="0" w:space="0" w:color="auto"/>
        <w:right w:val="none" w:sz="0" w:space="0" w:color="auto"/>
      </w:divBdr>
    </w:div>
    <w:div w:id="916596703">
      <w:bodyDiv w:val="1"/>
      <w:marLeft w:val="0"/>
      <w:marRight w:val="0"/>
      <w:marTop w:val="0"/>
      <w:marBottom w:val="0"/>
      <w:divBdr>
        <w:top w:val="none" w:sz="0" w:space="0" w:color="auto"/>
        <w:left w:val="none" w:sz="0" w:space="0" w:color="auto"/>
        <w:bottom w:val="none" w:sz="0" w:space="0" w:color="auto"/>
        <w:right w:val="none" w:sz="0" w:space="0" w:color="auto"/>
      </w:divBdr>
    </w:div>
    <w:div w:id="917247719">
      <w:bodyDiv w:val="1"/>
      <w:marLeft w:val="0"/>
      <w:marRight w:val="0"/>
      <w:marTop w:val="0"/>
      <w:marBottom w:val="0"/>
      <w:divBdr>
        <w:top w:val="none" w:sz="0" w:space="0" w:color="auto"/>
        <w:left w:val="none" w:sz="0" w:space="0" w:color="auto"/>
        <w:bottom w:val="none" w:sz="0" w:space="0" w:color="auto"/>
        <w:right w:val="none" w:sz="0" w:space="0" w:color="auto"/>
      </w:divBdr>
    </w:div>
    <w:div w:id="922492791">
      <w:bodyDiv w:val="1"/>
      <w:marLeft w:val="0"/>
      <w:marRight w:val="0"/>
      <w:marTop w:val="0"/>
      <w:marBottom w:val="0"/>
      <w:divBdr>
        <w:top w:val="none" w:sz="0" w:space="0" w:color="auto"/>
        <w:left w:val="none" w:sz="0" w:space="0" w:color="auto"/>
        <w:bottom w:val="none" w:sz="0" w:space="0" w:color="auto"/>
        <w:right w:val="none" w:sz="0" w:space="0" w:color="auto"/>
      </w:divBdr>
    </w:div>
    <w:div w:id="923344957">
      <w:bodyDiv w:val="1"/>
      <w:marLeft w:val="0"/>
      <w:marRight w:val="0"/>
      <w:marTop w:val="0"/>
      <w:marBottom w:val="0"/>
      <w:divBdr>
        <w:top w:val="none" w:sz="0" w:space="0" w:color="auto"/>
        <w:left w:val="none" w:sz="0" w:space="0" w:color="auto"/>
        <w:bottom w:val="none" w:sz="0" w:space="0" w:color="auto"/>
        <w:right w:val="none" w:sz="0" w:space="0" w:color="auto"/>
      </w:divBdr>
    </w:div>
    <w:div w:id="925190133">
      <w:bodyDiv w:val="1"/>
      <w:marLeft w:val="0"/>
      <w:marRight w:val="0"/>
      <w:marTop w:val="0"/>
      <w:marBottom w:val="0"/>
      <w:divBdr>
        <w:top w:val="none" w:sz="0" w:space="0" w:color="auto"/>
        <w:left w:val="none" w:sz="0" w:space="0" w:color="auto"/>
        <w:bottom w:val="none" w:sz="0" w:space="0" w:color="auto"/>
        <w:right w:val="none" w:sz="0" w:space="0" w:color="auto"/>
      </w:divBdr>
    </w:div>
    <w:div w:id="926307669">
      <w:bodyDiv w:val="1"/>
      <w:marLeft w:val="0"/>
      <w:marRight w:val="0"/>
      <w:marTop w:val="0"/>
      <w:marBottom w:val="0"/>
      <w:divBdr>
        <w:top w:val="none" w:sz="0" w:space="0" w:color="auto"/>
        <w:left w:val="none" w:sz="0" w:space="0" w:color="auto"/>
        <w:bottom w:val="none" w:sz="0" w:space="0" w:color="auto"/>
        <w:right w:val="none" w:sz="0" w:space="0" w:color="auto"/>
      </w:divBdr>
    </w:div>
    <w:div w:id="951086332">
      <w:bodyDiv w:val="1"/>
      <w:marLeft w:val="0"/>
      <w:marRight w:val="0"/>
      <w:marTop w:val="0"/>
      <w:marBottom w:val="0"/>
      <w:divBdr>
        <w:top w:val="none" w:sz="0" w:space="0" w:color="auto"/>
        <w:left w:val="none" w:sz="0" w:space="0" w:color="auto"/>
        <w:bottom w:val="none" w:sz="0" w:space="0" w:color="auto"/>
        <w:right w:val="none" w:sz="0" w:space="0" w:color="auto"/>
      </w:divBdr>
    </w:div>
    <w:div w:id="952712837">
      <w:bodyDiv w:val="1"/>
      <w:marLeft w:val="0"/>
      <w:marRight w:val="0"/>
      <w:marTop w:val="0"/>
      <w:marBottom w:val="0"/>
      <w:divBdr>
        <w:top w:val="none" w:sz="0" w:space="0" w:color="auto"/>
        <w:left w:val="none" w:sz="0" w:space="0" w:color="auto"/>
        <w:bottom w:val="none" w:sz="0" w:space="0" w:color="auto"/>
        <w:right w:val="none" w:sz="0" w:space="0" w:color="auto"/>
      </w:divBdr>
    </w:div>
    <w:div w:id="990208724">
      <w:bodyDiv w:val="1"/>
      <w:marLeft w:val="0"/>
      <w:marRight w:val="0"/>
      <w:marTop w:val="0"/>
      <w:marBottom w:val="0"/>
      <w:divBdr>
        <w:top w:val="none" w:sz="0" w:space="0" w:color="auto"/>
        <w:left w:val="none" w:sz="0" w:space="0" w:color="auto"/>
        <w:bottom w:val="none" w:sz="0" w:space="0" w:color="auto"/>
        <w:right w:val="none" w:sz="0" w:space="0" w:color="auto"/>
      </w:divBdr>
    </w:div>
    <w:div w:id="1004892201">
      <w:bodyDiv w:val="1"/>
      <w:marLeft w:val="0"/>
      <w:marRight w:val="0"/>
      <w:marTop w:val="0"/>
      <w:marBottom w:val="0"/>
      <w:divBdr>
        <w:top w:val="none" w:sz="0" w:space="0" w:color="auto"/>
        <w:left w:val="none" w:sz="0" w:space="0" w:color="auto"/>
        <w:bottom w:val="none" w:sz="0" w:space="0" w:color="auto"/>
        <w:right w:val="none" w:sz="0" w:space="0" w:color="auto"/>
      </w:divBdr>
    </w:div>
    <w:div w:id="1008749253">
      <w:bodyDiv w:val="1"/>
      <w:marLeft w:val="0"/>
      <w:marRight w:val="0"/>
      <w:marTop w:val="0"/>
      <w:marBottom w:val="0"/>
      <w:divBdr>
        <w:top w:val="none" w:sz="0" w:space="0" w:color="auto"/>
        <w:left w:val="none" w:sz="0" w:space="0" w:color="auto"/>
        <w:bottom w:val="none" w:sz="0" w:space="0" w:color="auto"/>
        <w:right w:val="none" w:sz="0" w:space="0" w:color="auto"/>
      </w:divBdr>
    </w:div>
    <w:div w:id="1029914372">
      <w:bodyDiv w:val="1"/>
      <w:marLeft w:val="0"/>
      <w:marRight w:val="0"/>
      <w:marTop w:val="0"/>
      <w:marBottom w:val="0"/>
      <w:divBdr>
        <w:top w:val="none" w:sz="0" w:space="0" w:color="auto"/>
        <w:left w:val="none" w:sz="0" w:space="0" w:color="auto"/>
        <w:bottom w:val="none" w:sz="0" w:space="0" w:color="auto"/>
        <w:right w:val="none" w:sz="0" w:space="0" w:color="auto"/>
      </w:divBdr>
    </w:div>
    <w:div w:id="1053575643">
      <w:bodyDiv w:val="1"/>
      <w:marLeft w:val="0"/>
      <w:marRight w:val="0"/>
      <w:marTop w:val="0"/>
      <w:marBottom w:val="0"/>
      <w:divBdr>
        <w:top w:val="none" w:sz="0" w:space="0" w:color="auto"/>
        <w:left w:val="none" w:sz="0" w:space="0" w:color="auto"/>
        <w:bottom w:val="none" w:sz="0" w:space="0" w:color="auto"/>
        <w:right w:val="none" w:sz="0" w:space="0" w:color="auto"/>
      </w:divBdr>
    </w:div>
    <w:div w:id="1057778836">
      <w:bodyDiv w:val="1"/>
      <w:marLeft w:val="0"/>
      <w:marRight w:val="0"/>
      <w:marTop w:val="0"/>
      <w:marBottom w:val="0"/>
      <w:divBdr>
        <w:top w:val="none" w:sz="0" w:space="0" w:color="auto"/>
        <w:left w:val="none" w:sz="0" w:space="0" w:color="auto"/>
        <w:bottom w:val="none" w:sz="0" w:space="0" w:color="auto"/>
        <w:right w:val="none" w:sz="0" w:space="0" w:color="auto"/>
      </w:divBdr>
    </w:div>
    <w:div w:id="1065949970">
      <w:bodyDiv w:val="1"/>
      <w:marLeft w:val="0"/>
      <w:marRight w:val="0"/>
      <w:marTop w:val="0"/>
      <w:marBottom w:val="0"/>
      <w:divBdr>
        <w:top w:val="none" w:sz="0" w:space="0" w:color="auto"/>
        <w:left w:val="none" w:sz="0" w:space="0" w:color="auto"/>
        <w:bottom w:val="none" w:sz="0" w:space="0" w:color="auto"/>
        <w:right w:val="none" w:sz="0" w:space="0" w:color="auto"/>
      </w:divBdr>
    </w:div>
    <w:div w:id="1077829161">
      <w:bodyDiv w:val="1"/>
      <w:marLeft w:val="0"/>
      <w:marRight w:val="0"/>
      <w:marTop w:val="0"/>
      <w:marBottom w:val="0"/>
      <w:divBdr>
        <w:top w:val="none" w:sz="0" w:space="0" w:color="auto"/>
        <w:left w:val="none" w:sz="0" w:space="0" w:color="auto"/>
        <w:bottom w:val="none" w:sz="0" w:space="0" w:color="auto"/>
        <w:right w:val="none" w:sz="0" w:space="0" w:color="auto"/>
      </w:divBdr>
    </w:div>
    <w:div w:id="1078599070">
      <w:bodyDiv w:val="1"/>
      <w:marLeft w:val="0"/>
      <w:marRight w:val="0"/>
      <w:marTop w:val="0"/>
      <w:marBottom w:val="0"/>
      <w:divBdr>
        <w:top w:val="none" w:sz="0" w:space="0" w:color="auto"/>
        <w:left w:val="none" w:sz="0" w:space="0" w:color="auto"/>
        <w:bottom w:val="none" w:sz="0" w:space="0" w:color="auto"/>
        <w:right w:val="none" w:sz="0" w:space="0" w:color="auto"/>
      </w:divBdr>
    </w:div>
    <w:div w:id="1080448851">
      <w:bodyDiv w:val="1"/>
      <w:marLeft w:val="0"/>
      <w:marRight w:val="0"/>
      <w:marTop w:val="0"/>
      <w:marBottom w:val="0"/>
      <w:divBdr>
        <w:top w:val="none" w:sz="0" w:space="0" w:color="auto"/>
        <w:left w:val="none" w:sz="0" w:space="0" w:color="auto"/>
        <w:bottom w:val="none" w:sz="0" w:space="0" w:color="auto"/>
        <w:right w:val="none" w:sz="0" w:space="0" w:color="auto"/>
      </w:divBdr>
    </w:div>
    <w:div w:id="1082801889">
      <w:bodyDiv w:val="1"/>
      <w:marLeft w:val="0"/>
      <w:marRight w:val="0"/>
      <w:marTop w:val="0"/>
      <w:marBottom w:val="0"/>
      <w:divBdr>
        <w:top w:val="none" w:sz="0" w:space="0" w:color="auto"/>
        <w:left w:val="none" w:sz="0" w:space="0" w:color="auto"/>
        <w:bottom w:val="none" w:sz="0" w:space="0" w:color="auto"/>
        <w:right w:val="none" w:sz="0" w:space="0" w:color="auto"/>
      </w:divBdr>
    </w:div>
    <w:div w:id="1095983653">
      <w:bodyDiv w:val="1"/>
      <w:marLeft w:val="0"/>
      <w:marRight w:val="0"/>
      <w:marTop w:val="0"/>
      <w:marBottom w:val="0"/>
      <w:divBdr>
        <w:top w:val="none" w:sz="0" w:space="0" w:color="auto"/>
        <w:left w:val="none" w:sz="0" w:space="0" w:color="auto"/>
        <w:bottom w:val="none" w:sz="0" w:space="0" w:color="auto"/>
        <w:right w:val="none" w:sz="0" w:space="0" w:color="auto"/>
      </w:divBdr>
    </w:div>
    <w:div w:id="1105268888">
      <w:bodyDiv w:val="1"/>
      <w:marLeft w:val="0"/>
      <w:marRight w:val="0"/>
      <w:marTop w:val="0"/>
      <w:marBottom w:val="0"/>
      <w:divBdr>
        <w:top w:val="none" w:sz="0" w:space="0" w:color="auto"/>
        <w:left w:val="none" w:sz="0" w:space="0" w:color="auto"/>
        <w:bottom w:val="none" w:sz="0" w:space="0" w:color="auto"/>
        <w:right w:val="none" w:sz="0" w:space="0" w:color="auto"/>
      </w:divBdr>
    </w:div>
    <w:div w:id="1108700362">
      <w:bodyDiv w:val="1"/>
      <w:marLeft w:val="0"/>
      <w:marRight w:val="0"/>
      <w:marTop w:val="0"/>
      <w:marBottom w:val="0"/>
      <w:divBdr>
        <w:top w:val="none" w:sz="0" w:space="0" w:color="auto"/>
        <w:left w:val="none" w:sz="0" w:space="0" w:color="auto"/>
        <w:bottom w:val="none" w:sz="0" w:space="0" w:color="auto"/>
        <w:right w:val="none" w:sz="0" w:space="0" w:color="auto"/>
      </w:divBdr>
    </w:div>
    <w:div w:id="1135173286">
      <w:bodyDiv w:val="1"/>
      <w:marLeft w:val="0"/>
      <w:marRight w:val="0"/>
      <w:marTop w:val="0"/>
      <w:marBottom w:val="0"/>
      <w:divBdr>
        <w:top w:val="none" w:sz="0" w:space="0" w:color="auto"/>
        <w:left w:val="none" w:sz="0" w:space="0" w:color="auto"/>
        <w:bottom w:val="none" w:sz="0" w:space="0" w:color="auto"/>
        <w:right w:val="none" w:sz="0" w:space="0" w:color="auto"/>
      </w:divBdr>
    </w:div>
    <w:div w:id="1137184942">
      <w:bodyDiv w:val="1"/>
      <w:marLeft w:val="0"/>
      <w:marRight w:val="0"/>
      <w:marTop w:val="0"/>
      <w:marBottom w:val="0"/>
      <w:divBdr>
        <w:top w:val="none" w:sz="0" w:space="0" w:color="auto"/>
        <w:left w:val="none" w:sz="0" w:space="0" w:color="auto"/>
        <w:bottom w:val="none" w:sz="0" w:space="0" w:color="auto"/>
        <w:right w:val="none" w:sz="0" w:space="0" w:color="auto"/>
      </w:divBdr>
    </w:div>
    <w:div w:id="1159610750">
      <w:bodyDiv w:val="1"/>
      <w:marLeft w:val="0"/>
      <w:marRight w:val="0"/>
      <w:marTop w:val="0"/>
      <w:marBottom w:val="0"/>
      <w:divBdr>
        <w:top w:val="none" w:sz="0" w:space="0" w:color="auto"/>
        <w:left w:val="none" w:sz="0" w:space="0" w:color="auto"/>
        <w:bottom w:val="none" w:sz="0" w:space="0" w:color="auto"/>
        <w:right w:val="none" w:sz="0" w:space="0" w:color="auto"/>
      </w:divBdr>
    </w:div>
    <w:div w:id="1179850283">
      <w:bodyDiv w:val="1"/>
      <w:marLeft w:val="0"/>
      <w:marRight w:val="0"/>
      <w:marTop w:val="0"/>
      <w:marBottom w:val="0"/>
      <w:divBdr>
        <w:top w:val="none" w:sz="0" w:space="0" w:color="auto"/>
        <w:left w:val="none" w:sz="0" w:space="0" w:color="auto"/>
        <w:bottom w:val="none" w:sz="0" w:space="0" w:color="auto"/>
        <w:right w:val="none" w:sz="0" w:space="0" w:color="auto"/>
      </w:divBdr>
    </w:div>
    <w:div w:id="1185828671">
      <w:bodyDiv w:val="1"/>
      <w:marLeft w:val="0"/>
      <w:marRight w:val="0"/>
      <w:marTop w:val="0"/>
      <w:marBottom w:val="0"/>
      <w:divBdr>
        <w:top w:val="none" w:sz="0" w:space="0" w:color="auto"/>
        <w:left w:val="none" w:sz="0" w:space="0" w:color="auto"/>
        <w:bottom w:val="none" w:sz="0" w:space="0" w:color="auto"/>
        <w:right w:val="none" w:sz="0" w:space="0" w:color="auto"/>
      </w:divBdr>
    </w:div>
    <w:div w:id="1194346032">
      <w:bodyDiv w:val="1"/>
      <w:marLeft w:val="0"/>
      <w:marRight w:val="0"/>
      <w:marTop w:val="0"/>
      <w:marBottom w:val="0"/>
      <w:divBdr>
        <w:top w:val="none" w:sz="0" w:space="0" w:color="auto"/>
        <w:left w:val="none" w:sz="0" w:space="0" w:color="auto"/>
        <w:bottom w:val="none" w:sz="0" w:space="0" w:color="auto"/>
        <w:right w:val="none" w:sz="0" w:space="0" w:color="auto"/>
      </w:divBdr>
    </w:div>
    <w:div w:id="1214007026">
      <w:bodyDiv w:val="1"/>
      <w:marLeft w:val="0"/>
      <w:marRight w:val="0"/>
      <w:marTop w:val="0"/>
      <w:marBottom w:val="0"/>
      <w:divBdr>
        <w:top w:val="none" w:sz="0" w:space="0" w:color="auto"/>
        <w:left w:val="none" w:sz="0" w:space="0" w:color="auto"/>
        <w:bottom w:val="none" w:sz="0" w:space="0" w:color="auto"/>
        <w:right w:val="none" w:sz="0" w:space="0" w:color="auto"/>
      </w:divBdr>
    </w:div>
    <w:div w:id="1228489254">
      <w:bodyDiv w:val="1"/>
      <w:marLeft w:val="0"/>
      <w:marRight w:val="0"/>
      <w:marTop w:val="0"/>
      <w:marBottom w:val="0"/>
      <w:divBdr>
        <w:top w:val="none" w:sz="0" w:space="0" w:color="auto"/>
        <w:left w:val="none" w:sz="0" w:space="0" w:color="auto"/>
        <w:bottom w:val="none" w:sz="0" w:space="0" w:color="auto"/>
        <w:right w:val="none" w:sz="0" w:space="0" w:color="auto"/>
      </w:divBdr>
    </w:div>
    <w:div w:id="1250426915">
      <w:bodyDiv w:val="1"/>
      <w:marLeft w:val="0"/>
      <w:marRight w:val="0"/>
      <w:marTop w:val="0"/>
      <w:marBottom w:val="0"/>
      <w:divBdr>
        <w:top w:val="none" w:sz="0" w:space="0" w:color="auto"/>
        <w:left w:val="none" w:sz="0" w:space="0" w:color="auto"/>
        <w:bottom w:val="none" w:sz="0" w:space="0" w:color="auto"/>
        <w:right w:val="none" w:sz="0" w:space="0" w:color="auto"/>
      </w:divBdr>
    </w:div>
    <w:div w:id="1254817919">
      <w:bodyDiv w:val="1"/>
      <w:marLeft w:val="0"/>
      <w:marRight w:val="0"/>
      <w:marTop w:val="0"/>
      <w:marBottom w:val="0"/>
      <w:divBdr>
        <w:top w:val="none" w:sz="0" w:space="0" w:color="auto"/>
        <w:left w:val="none" w:sz="0" w:space="0" w:color="auto"/>
        <w:bottom w:val="none" w:sz="0" w:space="0" w:color="auto"/>
        <w:right w:val="none" w:sz="0" w:space="0" w:color="auto"/>
      </w:divBdr>
    </w:div>
    <w:div w:id="1266502944">
      <w:bodyDiv w:val="1"/>
      <w:marLeft w:val="0"/>
      <w:marRight w:val="0"/>
      <w:marTop w:val="0"/>
      <w:marBottom w:val="0"/>
      <w:divBdr>
        <w:top w:val="none" w:sz="0" w:space="0" w:color="auto"/>
        <w:left w:val="none" w:sz="0" w:space="0" w:color="auto"/>
        <w:bottom w:val="none" w:sz="0" w:space="0" w:color="auto"/>
        <w:right w:val="none" w:sz="0" w:space="0" w:color="auto"/>
      </w:divBdr>
    </w:div>
    <w:div w:id="1267496882">
      <w:bodyDiv w:val="1"/>
      <w:marLeft w:val="0"/>
      <w:marRight w:val="0"/>
      <w:marTop w:val="0"/>
      <w:marBottom w:val="0"/>
      <w:divBdr>
        <w:top w:val="none" w:sz="0" w:space="0" w:color="auto"/>
        <w:left w:val="none" w:sz="0" w:space="0" w:color="auto"/>
        <w:bottom w:val="none" w:sz="0" w:space="0" w:color="auto"/>
        <w:right w:val="none" w:sz="0" w:space="0" w:color="auto"/>
      </w:divBdr>
    </w:div>
    <w:div w:id="1267536737">
      <w:bodyDiv w:val="1"/>
      <w:marLeft w:val="0"/>
      <w:marRight w:val="0"/>
      <w:marTop w:val="0"/>
      <w:marBottom w:val="0"/>
      <w:divBdr>
        <w:top w:val="none" w:sz="0" w:space="0" w:color="auto"/>
        <w:left w:val="none" w:sz="0" w:space="0" w:color="auto"/>
        <w:bottom w:val="none" w:sz="0" w:space="0" w:color="auto"/>
        <w:right w:val="none" w:sz="0" w:space="0" w:color="auto"/>
      </w:divBdr>
    </w:div>
    <w:div w:id="1282344142">
      <w:bodyDiv w:val="1"/>
      <w:marLeft w:val="0"/>
      <w:marRight w:val="0"/>
      <w:marTop w:val="0"/>
      <w:marBottom w:val="0"/>
      <w:divBdr>
        <w:top w:val="none" w:sz="0" w:space="0" w:color="auto"/>
        <w:left w:val="none" w:sz="0" w:space="0" w:color="auto"/>
        <w:bottom w:val="none" w:sz="0" w:space="0" w:color="auto"/>
        <w:right w:val="none" w:sz="0" w:space="0" w:color="auto"/>
      </w:divBdr>
    </w:div>
    <w:div w:id="1287273303">
      <w:bodyDiv w:val="1"/>
      <w:marLeft w:val="0"/>
      <w:marRight w:val="0"/>
      <w:marTop w:val="0"/>
      <w:marBottom w:val="0"/>
      <w:divBdr>
        <w:top w:val="none" w:sz="0" w:space="0" w:color="auto"/>
        <w:left w:val="none" w:sz="0" w:space="0" w:color="auto"/>
        <w:bottom w:val="none" w:sz="0" w:space="0" w:color="auto"/>
        <w:right w:val="none" w:sz="0" w:space="0" w:color="auto"/>
      </w:divBdr>
    </w:div>
    <w:div w:id="1295983137">
      <w:bodyDiv w:val="1"/>
      <w:marLeft w:val="0"/>
      <w:marRight w:val="0"/>
      <w:marTop w:val="0"/>
      <w:marBottom w:val="0"/>
      <w:divBdr>
        <w:top w:val="none" w:sz="0" w:space="0" w:color="auto"/>
        <w:left w:val="none" w:sz="0" w:space="0" w:color="auto"/>
        <w:bottom w:val="none" w:sz="0" w:space="0" w:color="auto"/>
        <w:right w:val="none" w:sz="0" w:space="0" w:color="auto"/>
      </w:divBdr>
    </w:div>
    <w:div w:id="1314605897">
      <w:bodyDiv w:val="1"/>
      <w:marLeft w:val="0"/>
      <w:marRight w:val="0"/>
      <w:marTop w:val="0"/>
      <w:marBottom w:val="0"/>
      <w:divBdr>
        <w:top w:val="none" w:sz="0" w:space="0" w:color="auto"/>
        <w:left w:val="none" w:sz="0" w:space="0" w:color="auto"/>
        <w:bottom w:val="none" w:sz="0" w:space="0" w:color="auto"/>
        <w:right w:val="none" w:sz="0" w:space="0" w:color="auto"/>
      </w:divBdr>
    </w:div>
    <w:div w:id="1317104728">
      <w:bodyDiv w:val="1"/>
      <w:marLeft w:val="0"/>
      <w:marRight w:val="0"/>
      <w:marTop w:val="0"/>
      <w:marBottom w:val="0"/>
      <w:divBdr>
        <w:top w:val="none" w:sz="0" w:space="0" w:color="auto"/>
        <w:left w:val="none" w:sz="0" w:space="0" w:color="auto"/>
        <w:bottom w:val="none" w:sz="0" w:space="0" w:color="auto"/>
        <w:right w:val="none" w:sz="0" w:space="0" w:color="auto"/>
      </w:divBdr>
    </w:div>
    <w:div w:id="1343124375">
      <w:bodyDiv w:val="1"/>
      <w:marLeft w:val="0"/>
      <w:marRight w:val="0"/>
      <w:marTop w:val="0"/>
      <w:marBottom w:val="0"/>
      <w:divBdr>
        <w:top w:val="none" w:sz="0" w:space="0" w:color="auto"/>
        <w:left w:val="none" w:sz="0" w:space="0" w:color="auto"/>
        <w:bottom w:val="none" w:sz="0" w:space="0" w:color="auto"/>
        <w:right w:val="none" w:sz="0" w:space="0" w:color="auto"/>
      </w:divBdr>
    </w:div>
    <w:div w:id="1345860761">
      <w:bodyDiv w:val="1"/>
      <w:marLeft w:val="0"/>
      <w:marRight w:val="0"/>
      <w:marTop w:val="0"/>
      <w:marBottom w:val="0"/>
      <w:divBdr>
        <w:top w:val="none" w:sz="0" w:space="0" w:color="auto"/>
        <w:left w:val="none" w:sz="0" w:space="0" w:color="auto"/>
        <w:bottom w:val="none" w:sz="0" w:space="0" w:color="auto"/>
        <w:right w:val="none" w:sz="0" w:space="0" w:color="auto"/>
      </w:divBdr>
    </w:div>
    <w:div w:id="1363364375">
      <w:bodyDiv w:val="1"/>
      <w:marLeft w:val="0"/>
      <w:marRight w:val="0"/>
      <w:marTop w:val="0"/>
      <w:marBottom w:val="0"/>
      <w:divBdr>
        <w:top w:val="none" w:sz="0" w:space="0" w:color="auto"/>
        <w:left w:val="none" w:sz="0" w:space="0" w:color="auto"/>
        <w:bottom w:val="none" w:sz="0" w:space="0" w:color="auto"/>
        <w:right w:val="none" w:sz="0" w:space="0" w:color="auto"/>
      </w:divBdr>
    </w:div>
    <w:div w:id="1369254332">
      <w:bodyDiv w:val="1"/>
      <w:marLeft w:val="0"/>
      <w:marRight w:val="0"/>
      <w:marTop w:val="0"/>
      <w:marBottom w:val="0"/>
      <w:divBdr>
        <w:top w:val="none" w:sz="0" w:space="0" w:color="auto"/>
        <w:left w:val="none" w:sz="0" w:space="0" w:color="auto"/>
        <w:bottom w:val="none" w:sz="0" w:space="0" w:color="auto"/>
        <w:right w:val="none" w:sz="0" w:space="0" w:color="auto"/>
      </w:divBdr>
    </w:div>
    <w:div w:id="1397898877">
      <w:bodyDiv w:val="1"/>
      <w:marLeft w:val="0"/>
      <w:marRight w:val="0"/>
      <w:marTop w:val="0"/>
      <w:marBottom w:val="0"/>
      <w:divBdr>
        <w:top w:val="none" w:sz="0" w:space="0" w:color="auto"/>
        <w:left w:val="none" w:sz="0" w:space="0" w:color="auto"/>
        <w:bottom w:val="none" w:sz="0" w:space="0" w:color="auto"/>
        <w:right w:val="none" w:sz="0" w:space="0" w:color="auto"/>
      </w:divBdr>
    </w:div>
    <w:div w:id="1415317887">
      <w:bodyDiv w:val="1"/>
      <w:marLeft w:val="0"/>
      <w:marRight w:val="0"/>
      <w:marTop w:val="0"/>
      <w:marBottom w:val="0"/>
      <w:divBdr>
        <w:top w:val="none" w:sz="0" w:space="0" w:color="auto"/>
        <w:left w:val="none" w:sz="0" w:space="0" w:color="auto"/>
        <w:bottom w:val="none" w:sz="0" w:space="0" w:color="auto"/>
        <w:right w:val="none" w:sz="0" w:space="0" w:color="auto"/>
      </w:divBdr>
    </w:div>
    <w:div w:id="1415467827">
      <w:bodyDiv w:val="1"/>
      <w:marLeft w:val="0"/>
      <w:marRight w:val="0"/>
      <w:marTop w:val="0"/>
      <w:marBottom w:val="0"/>
      <w:divBdr>
        <w:top w:val="none" w:sz="0" w:space="0" w:color="auto"/>
        <w:left w:val="none" w:sz="0" w:space="0" w:color="auto"/>
        <w:bottom w:val="none" w:sz="0" w:space="0" w:color="auto"/>
        <w:right w:val="none" w:sz="0" w:space="0" w:color="auto"/>
      </w:divBdr>
    </w:div>
    <w:div w:id="1425495974">
      <w:bodyDiv w:val="1"/>
      <w:marLeft w:val="0"/>
      <w:marRight w:val="0"/>
      <w:marTop w:val="0"/>
      <w:marBottom w:val="0"/>
      <w:divBdr>
        <w:top w:val="none" w:sz="0" w:space="0" w:color="auto"/>
        <w:left w:val="none" w:sz="0" w:space="0" w:color="auto"/>
        <w:bottom w:val="none" w:sz="0" w:space="0" w:color="auto"/>
        <w:right w:val="none" w:sz="0" w:space="0" w:color="auto"/>
      </w:divBdr>
    </w:div>
    <w:div w:id="1429159819">
      <w:bodyDiv w:val="1"/>
      <w:marLeft w:val="0"/>
      <w:marRight w:val="0"/>
      <w:marTop w:val="0"/>
      <w:marBottom w:val="0"/>
      <w:divBdr>
        <w:top w:val="none" w:sz="0" w:space="0" w:color="auto"/>
        <w:left w:val="none" w:sz="0" w:space="0" w:color="auto"/>
        <w:bottom w:val="none" w:sz="0" w:space="0" w:color="auto"/>
        <w:right w:val="none" w:sz="0" w:space="0" w:color="auto"/>
      </w:divBdr>
    </w:div>
    <w:div w:id="1437096976">
      <w:bodyDiv w:val="1"/>
      <w:marLeft w:val="0"/>
      <w:marRight w:val="0"/>
      <w:marTop w:val="0"/>
      <w:marBottom w:val="0"/>
      <w:divBdr>
        <w:top w:val="none" w:sz="0" w:space="0" w:color="auto"/>
        <w:left w:val="none" w:sz="0" w:space="0" w:color="auto"/>
        <w:bottom w:val="none" w:sz="0" w:space="0" w:color="auto"/>
        <w:right w:val="none" w:sz="0" w:space="0" w:color="auto"/>
      </w:divBdr>
    </w:div>
    <w:div w:id="1458521095">
      <w:bodyDiv w:val="1"/>
      <w:marLeft w:val="0"/>
      <w:marRight w:val="0"/>
      <w:marTop w:val="0"/>
      <w:marBottom w:val="0"/>
      <w:divBdr>
        <w:top w:val="none" w:sz="0" w:space="0" w:color="auto"/>
        <w:left w:val="none" w:sz="0" w:space="0" w:color="auto"/>
        <w:bottom w:val="none" w:sz="0" w:space="0" w:color="auto"/>
        <w:right w:val="none" w:sz="0" w:space="0" w:color="auto"/>
      </w:divBdr>
    </w:div>
    <w:div w:id="1476221146">
      <w:bodyDiv w:val="1"/>
      <w:marLeft w:val="0"/>
      <w:marRight w:val="0"/>
      <w:marTop w:val="0"/>
      <w:marBottom w:val="0"/>
      <w:divBdr>
        <w:top w:val="none" w:sz="0" w:space="0" w:color="auto"/>
        <w:left w:val="none" w:sz="0" w:space="0" w:color="auto"/>
        <w:bottom w:val="none" w:sz="0" w:space="0" w:color="auto"/>
        <w:right w:val="none" w:sz="0" w:space="0" w:color="auto"/>
      </w:divBdr>
    </w:div>
    <w:div w:id="1487163254">
      <w:bodyDiv w:val="1"/>
      <w:marLeft w:val="0"/>
      <w:marRight w:val="0"/>
      <w:marTop w:val="0"/>
      <w:marBottom w:val="0"/>
      <w:divBdr>
        <w:top w:val="none" w:sz="0" w:space="0" w:color="auto"/>
        <w:left w:val="none" w:sz="0" w:space="0" w:color="auto"/>
        <w:bottom w:val="none" w:sz="0" w:space="0" w:color="auto"/>
        <w:right w:val="none" w:sz="0" w:space="0" w:color="auto"/>
      </w:divBdr>
    </w:div>
    <w:div w:id="1506936227">
      <w:bodyDiv w:val="1"/>
      <w:marLeft w:val="0"/>
      <w:marRight w:val="0"/>
      <w:marTop w:val="0"/>
      <w:marBottom w:val="0"/>
      <w:divBdr>
        <w:top w:val="none" w:sz="0" w:space="0" w:color="auto"/>
        <w:left w:val="none" w:sz="0" w:space="0" w:color="auto"/>
        <w:bottom w:val="none" w:sz="0" w:space="0" w:color="auto"/>
        <w:right w:val="none" w:sz="0" w:space="0" w:color="auto"/>
      </w:divBdr>
    </w:div>
    <w:div w:id="1531456842">
      <w:bodyDiv w:val="1"/>
      <w:marLeft w:val="0"/>
      <w:marRight w:val="0"/>
      <w:marTop w:val="0"/>
      <w:marBottom w:val="0"/>
      <w:divBdr>
        <w:top w:val="none" w:sz="0" w:space="0" w:color="auto"/>
        <w:left w:val="none" w:sz="0" w:space="0" w:color="auto"/>
        <w:bottom w:val="none" w:sz="0" w:space="0" w:color="auto"/>
        <w:right w:val="none" w:sz="0" w:space="0" w:color="auto"/>
      </w:divBdr>
    </w:div>
    <w:div w:id="1534077973">
      <w:bodyDiv w:val="1"/>
      <w:marLeft w:val="0"/>
      <w:marRight w:val="0"/>
      <w:marTop w:val="0"/>
      <w:marBottom w:val="0"/>
      <w:divBdr>
        <w:top w:val="none" w:sz="0" w:space="0" w:color="auto"/>
        <w:left w:val="none" w:sz="0" w:space="0" w:color="auto"/>
        <w:bottom w:val="none" w:sz="0" w:space="0" w:color="auto"/>
        <w:right w:val="none" w:sz="0" w:space="0" w:color="auto"/>
      </w:divBdr>
    </w:div>
    <w:div w:id="1537934511">
      <w:bodyDiv w:val="1"/>
      <w:marLeft w:val="0"/>
      <w:marRight w:val="0"/>
      <w:marTop w:val="0"/>
      <w:marBottom w:val="0"/>
      <w:divBdr>
        <w:top w:val="none" w:sz="0" w:space="0" w:color="auto"/>
        <w:left w:val="none" w:sz="0" w:space="0" w:color="auto"/>
        <w:bottom w:val="none" w:sz="0" w:space="0" w:color="auto"/>
        <w:right w:val="none" w:sz="0" w:space="0" w:color="auto"/>
      </w:divBdr>
    </w:div>
    <w:div w:id="1549337078">
      <w:bodyDiv w:val="1"/>
      <w:marLeft w:val="0"/>
      <w:marRight w:val="0"/>
      <w:marTop w:val="0"/>
      <w:marBottom w:val="0"/>
      <w:divBdr>
        <w:top w:val="none" w:sz="0" w:space="0" w:color="auto"/>
        <w:left w:val="none" w:sz="0" w:space="0" w:color="auto"/>
        <w:bottom w:val="none" w:sz="0" w:space="0" w:color="auto"/>
        <w:right w:val="none" w:sz="0" w:space="0" w:color="auto"/>
      </w:divBdr>
    </w:div>
    <w:div w:id="1560087783">
      <w:bodyDiv w:val="1"/>
      <w:marLeft w:val="0"/>
      <w:marRight w:val="0"/>
      <w:marTop w:val="0"/>
      <w:marBottom w:val="0"/>
      <w:divBdr>
        <w:top w:val="none" w:sz="0" w:space="0" w:color="auto"/>
        <w:left w:val="none" w:sz="0" w:space="0" w:color="auto"/>
        <w:bottom w:val="none" w:sz="0" w:space="0" w:color="auto"/>
        <w:right w:val="none" w:sz="0" w:space="0" w:color="auto"/>
      </w:divBdr>
    </w:div>
    <w:div w:id="1577322371">
      <w:bodyDiv w:val="1"/>
      <w:marLeft w:val="0"/>
      <w:marRight w:val="0"/>
      <w:marTop w:val="0"/>
      <w:marBottom w:val="0"/>
      <w:divBdr>
        <w:top w:val="none" w:sz="0" w:space="0" w:color="auto"/>
        <w:left w:val="none" w:sz="0" w:space="0" w:color="auto"/>
        <w:bottom w:val="none" w:sz="0" w:space="0" w:color="auto"/>
        <w:right w:val="none" w:sz="0" w:space="0" w:color="auto"/>
      </w:divBdr>
    </w:div>
    <w:div w:id="1581711697">
      <w:bodyDiv w:val="1"/>
      <w:marLeft w:val="0"/>
      <w:marRight w:val="0"/>
      <w:marTop w:val="0"/>
      <w:marBottom w:val="0"/>
      <w:divBdr>
        <w:top w:val="none" w:sz="0" w:space="0" w:color="auto"/>
        <w:left w:val="none" w:sz="0" w:space="0" w:color="auto"/>
        <w:bottom w:val="none" w:sz="0" w:space="0" w:color="auto"/>
        <w:right w:val="none" w:sz="0" w:space="0" w:color="auto"/>
      </w:divBdr>
    </w:div>
    <w:div w:id="1605307741">
      <w:bodyDiv w:val="1"/>
      <w:marLeft w:val="0"/>
      <w:marRight w:val="0"/>
      <w:marTop w:val="0"/>
      <w:marBottom w:val="0"/>
      <w:divBdr>
        <w:top w:val="none" w:sz="0" w:space="0" w:color="auto"/>
        <w:left w:val="none" w:sz="0" w:space="0" w:color="auto"/>
        <w:bottom w:val="none" w:sz="0" w:space="0" w:color="auto"/>
        <w:right w:val="none" w:sz="0" w:space="0" w:color="auto"/>
      </w:divBdr>
    </w:div>
    <w:div w:id="1608998921">
      <w:bodyDiv w:val="1"/>
      <w:marLeft w:val="0"/>
      <w:marRight w:val="0"/>
      <w:marTop w:val="0"/>
      <w:marBottom w:val="0"/>
      <w:divBdr>
        <w:top w:val="none" w:sz="0" w:space="0" w:color="auto"/>
        <w:left w:val="none" w:sz="0" w:space="0" w:color="auto"/>
        <w:bottom w:val="none" w:sz="0" w:space="0" w:color="auto"/>
        <w:right w:val="none" w:sz="0" w:space="0" w:color="auto"/>
      </w:divBdr>
    </w:div>
    <w:div w:id="1640723076">
      <w:bodyDiv w:val="1"/>
      <w:marLeft w:val="0"/>
      <w:marRight w:val="0"/>
      <w:marTop w:val="0"/>
      <w:marBottom w:val="0"/>
      <w:divBdr>
        <w:top w:val="none" w:sz="0" w:space="0" w:color="auto"/>
        <w:left w:val="none" w:sz="0" w:space="0" w:color="auto"/>
        <w:bottom w:val="none" w:sz="0" w:space="0" w:color="auto"/>
        <w:right w:val="none" w:sz="0" w:space="0" w:color="auto"/>
      </w:divBdr>
    </w:div>
    <w:div w:id="1646814052">
      <w:bodyDiv w:val="1"/>
      <w:marLeft w:val="0"/>
      <w:marRight w:val="0"/>
      <w:marTop w:val="0"/>
      <w:marBottom w:val="0"/>
      <w:divBdr>
        <w:top w:val="none" w:sz="0" w:space="0" w:color="auto"/>
        <w:left w:val="none" w:sz="0" w:space="0" w:color="auto"/>
        <w:bottom w:val="none" w:sz="0" w:space="0" w:color="auto"/>
        <w:right w:val="none" w:sz="0" w:space="0" w:color="auto"/>
      </w:divBdr>
    </w:div>
    <w:div w:id="1653867813">
      <w:bodyDiv w:val="1"/>
      <w:marLeft w:val="0"/>
      <w:marRight w:val="0"/>
      <w:marTop w:val="0"/>
      <w:marBottom w:val="0"/>
      <w:divBdr>
        <w:top w:val="none" w:sz="0" w:space="0" w:color="auto"/>
        <w:left w:val="none" w:sz="0" w:space="0" w:color="auto"/>
        <w:bottom w:val="none" w:sz="0" w:space="0" w:color="auto"/>
        <w:right w:val="none" w:sz="0" w:space="0" w:color="auto"/>
      </w:divBdr>
    </w:div>
    <w:div w:id="1656254310">
      <w:bodyDiv w:val="1"/>
      <w:marLeft w:val="0"/>
      <w:marRight w:val="0"/>
      <w:marTop w:val="0"/>
      <w:marBottom w:val="0"/>
      <w:divBdr>
        <w:top w:val="none" w:sz="0" w:space="0" w:color="auto"/>
        <w:left w:val="none" w:sz="0" w:space="0" w:color="auto"/>
        <w:bottom w:val="none" w:sz="0" w:space="0" w:color="auto"/>
        <w:right w:val="none" w:sz="0" w:space="0" w:color="auto"/>
      </w:divBdr>
    </w:div>
    <w:div w:id="1691099626">
      <w:bodyDiv w:val="1"/>
      <w:marLeft w:val="0"/>
      <w:marRight w:val="0"/>
      <w:marTop w:val="0"/>
      <w:marBottom w:val="0"/>
      <w:divBdr>
        <w:top w:val="none" w:sz="0" w:space="0" w:color="auto"/>
        <w:left w:val="none" w:sz="0" w:space="0" w:color="auto"/>
        <w:bottom w:val="none" w:sz="0" w:space="0" w:color="auto"/>
        <w:right w:val="none" w:sz="0" w:space="0" w:color="auto"/>
      </w:divBdr>
    </w:div>
    <w:div w:id="1692804976">
      <w:bodyDiv w:val="1"/>
      <w:marLeft w:val="0"/>
      <w:marRight w:val="0"/>
      <w:marTop w:val="0"/>
      <w:marBottom w:val="0"/>
      <w:divBdr>
        <w:top w:val="none" w:sz="0" w:space="0" w:color="auto"/>
        <w:left w:val="none" w:sz="0" w:space="0" w:color="auto"/>
        <w:bottom w:val="none" w:sz="0" w:space="0" w:color="auto"/>
        <w:right w:val="none" w:sz="0" w:space="0" w:color="auto"/>
      </w:divBdr>
    </w:div>
    <w:div w:id="1699115165">
      <w:bodyDiv w:val="1"/>
      <w:marLeft w:val="0"/>
      <w:marRight w:val="0"/>
      <w:marTop w:val="0"/>
      <w:marBottom w:val="0"/>
      <w:divBdr>
        <w:top w:val="none" w:sz="0" w:space="0" w:color="auto"/>
        <w:left w:val="none" w:sz="0" w:space="0" w:color="auto"/>
        <w:bottom w:val="none" w:sz="0" w:space="0" w:color="auto"/>
        <w:right w:val="none" w:sz="0" w:space="0" w:color="auto"/>
      </w:divBdr>
    </w:div>
    <w:div w:id="1701316417">
      <w:bodyDiv w:val="1"/>
      <w:marLeft w:val="0"/>
      <w:marRight w:val="0"/>
      <w:marTop w:val="0"/>
      <w:marBottom w:val="0"/>
      <w:divBdr>
        <w:top w:val="none" w:sz="0" w:space="0" w:color="auto"/>
        <w:left w:val="none" w:sz="0" w:space="0" w:color="auto"/>
        <w:bottom w:val="none" w:sz="0" w:space="0" w:color="auto"/>
        <w:right w:val="none" w:sz="0" w:space="0" w:color="auto"/>
      </w:divBdr>
    </w:div>
    <w:div w:id="1710715560">
      <w:bodyDiv w:val="1"/>
      <w:marLeft w:val="0"/>
      <w:marRight w:val="0"/>
      <w:marTop w:val="0"/>
      <w:marBottom w:val="0"/>
      <w:divBdr>
        <w:top w:val="none" w:sz="0" w:space="0" w:color="auto"/>
        <w:left w:val="none" w:sz="0" w:space="0" w:color="auto"/>
        <w:bottom w:val="none" w:sz="0" w:space="0" w:color="auto"/>
        <w:right w:val="none" w:sz="0" w:space="0" w:color="auto"/>
      </w:divBdr>
    </w:div>
    <w:div w:id="1729760770">
      <w:bodyDiv w:val="1"/>
      <w:marLeft w:val="0"/>
      <w:marRight w:val="0"/>
      <w:marTop w:val="0"/>
      <w:marBottom w:val="0"/>
      <w:divBdr>
        <w:top w:val="none" w:sz="0" w:space="0" w:color="auto"/>
        <w:left w:val="none" w:sz="0" w:space="0" w:color="auto"/>
        <w:bottom w:val="none" w:sz="0" w:space="0" w:color="auto"/>
        <w:right w:val="none" w:sz="0" w:space="0" w:color="auto"/>
      </w:divBdr>
    </w:div>
    <w:div w:id="1741170437">
      <w:bodyDiv w:val="1"/>
      <w:marLeft w:val="0"/>
      <w:marRight w:val="0"/>
      <w:marTop w:val="0"/>
      <w:marBottom w:val="0"/>
      <w:divBdr>
        <w:top w:val="none" w:sz="0" w:space="0" w:color="auto"/>
        <w:left w:val="none" w:sz="0" w:space="0" w:color="auto"/>
        <w:bottom w:val="none" w:sz="0" w:space="0" w:color="auto"/>
        <w:right w:val="none" w:sz="0" w:space="0" w:color="auto"/>
      </w:divBdr>
    </w:div>
    <w:div w:id="1750882757">
      <w:bodyDiv w:val="1"/>
      <w:marLeft w:val="0"/>
      <w:marRight w:val="0"/>
      <w:marTop w:val="0"/>
      <w:marBottom w:val="0"/>
      <w:divBdr>
        <w:top w:val="none" w:sz="0" w:space="0" w:color="auto"/>
        <w:left w:val="none" w:sz="0" w:space="0" w:color="auto"/>
        <w:bottom w:val="none" w:sz="0" w:space="0" w:color="auto"/>
        <w:right w:val="none" w:sz="0" w:space="0" w:color="auto"/>
      </w:divBdr>
    </w:div>
    <w:div w:id="1753232042">
      <w:bodyDiv w:val="1"/>
      <w:marLeft w:val="0"/>
      <w:marRight w:val="0"/>
      <w:marTop w:val="0"/>
      <w:marBottom w:val="0"/>
      <w:divBdr>
        <w:top w:val="none" w:sz="0" w:space="0" w:color="auto"/>
        <w:left w:val="none" w:sz="0" w:space="0" w:color="auto"/>
        <w:bottom w:val="none" w:sz="0" w:space="0" w:color="auto"/>
        <w:right w:val="none" w:sz="0" w:space="0" w:color="auto"/>
      </w:divBdr>
    </w:div>
    <w:div w:id="1755201046">
      <w:bodyDiv w:val="1"/>
      <w:marLeft w:val="0"/>
      <w:marRight w:val="0"/>
      <w:marTop w:val="0"/>
      <w:marBottom w:val="0"/>
      <w:divBdr>
        <w:top w:val="none" w:sz="0" w:space="0" w:color="auto"/>
        <w:left w:val="none" w:sz="0" w:space="0" w:color="auto"/>
        <w:bottom w:val="none" w:sz="0" w:space="0" w:color="auto"/>
        <w:right w:val="none" w:sz="0" w:space="0" w:color="auto"/>
      </w:divBdr>
    </w:div>
    <w:div w:id="1757552325">
      <w:bodyDiv w:val="1"/>
      <w:marLeft w:val="0"/>
      <w:marRight w:val="0"/>
      <w:marTop w:val="0"/>
      <w:marBottom w:val="0"/>
      <w:divBdr>
        <w:top w:val="none" w:sz="0" w:space="0" w:color="auto"/>
        <w:left w:val="none" w:sz="0" w:space="0" w:color="auto"/>
        <w:bottom w:val="none" w:sz="0" w:space="0" w:color="auto"/>
        <w:right w:val="none" w:sz="0" w:space="0" w:color="auto"/>
      </w:divBdr>
    </w:div>
    <w:div w:id="1779522224">
      <w:bodyDiv w:val="1"/>
      <w:marLeft w:val="0"/>
      <w:marRight w:val="0"/>
      <w:marTop w:val="0"/>
      <w:marBottom w:val="0"/>
      <w:divBdr>
        <w:top w:val="none" w:sz="0" w:space="0" w:color="auto"/>
        <w:left w:val="none" w:sz="0" w:space="0" w:color="auto"/>
        <w:bottom w:val="none" w:sz="0" w:space="0" w:color="auto"/>
        <w:right w:val="none" w:sz="0" w:space="0" w:color="auto"/>
      </w:divBdr>
    </w:div>
    <w:div w:id="1785733327">
      <w:bodyDiv w:val="1"/>
      <w:marLeft w:val="0"/>
      <w:marRight w:val="0"/>
      <w:marTop w:val="0"/>
      <w:marBottom w:val="0"/>
      <w:divBdr>
        <w:top w:val="none" w:sz="0" w:space="0" w:color="auto"/>
        <w:left w:val="none" w:sz="0" w:space="0" w:color="auto"/>
        <w:bottom w:val="none" w:sz="0" w:space="0" w:color="auto"/>
        <w:right w:val="none" w:sz="0" w:space="0" w:color="auto"/>
      </w:divBdr>
    </w:div>
    <w:div w:id="1809125900">
      <w:bodyDiv w:val="1"/>
      <w:marLeft w:val="0"/>
      <w:marRight w:val="0"/>
      <w:marTop w:val="0"/>
      <w:marBottom w:val="0"/>
      <w:divBdr>
        <w:top w:val="none" w:sz="0" w:space="0" w:color="auto"/>
        <w:left w:val="none" w:sz="0" w:space="0" w:color="auto"/>
        <w:bottom w:val="none" w:sz="0" w:space="0" w:color="auto"/>
        <w:right w:val="none" w:sz="0" w:space="0" w:color="auto"/>
      </w:divBdr>
    </w:div>
    <w:div w:id="1816140543">
      <w:bodyDiv w:val="1"/>
      <w:marLeft w:val="0"/>
      <w:marRight w:val="0"/>
      <w:marTop w:val="0"/>
      <w:marBottom w:val="0"/>
      <w:divBdr>
        <w:top w:val="none" w:sz="0" w:space="0" w:color="auto"/>
        <w:left w:val="none" w:sz="0" w:space="0" w:color="auto"/>
        <w:bottom w:val="none" w:sz="0" w:space="0" w:color="auto"/>
        <w:right w:val="none" w:sz="0" w:space="0" w:color="auto"/>
      </w:divBdr>
    </w:div>
    <w:div w:id="1821193755">
      <w:bodyDiv w:val="1"/>
      <w:marLeft w:val="0"/>
      <w:marRight w:val="0"/>
      <w:marTop w:val="0"/>
      <w:marBottom w:val="0"/>
      <w:divBdr>
        <w:top w:val="none" w:sz="0" w:space="0" w:color="auto"/>
        <w:left w:val="none" w:sz="0" w:space="0" w:color="auto"/>
        <w:bottom w:val="none" w:sz="0" w:space="0" w:color="auto"/>
        <w:right w:val="none" w:sz="0" w:space="0" w:color="auto"/>
      </w:divBdr>
    </w:div>
    <w:div w:id="1829595921">
      <w:bodyDiv w:val="1"/>
      <w:marLeft w:val="0"/>
      <w:marRight w:val="0"/>
      <w:marTop w:val="0"/>
      <w:marBottom w:val="0"/>
      <w:divBdr>
        <w:top w:val="none" w:sz="0" w:space="0" w:color="auto"/>
        <w:left w:val="none" w:sz="0" w:space="0" w:color="auto"/>
        <w:bottom w:val="none" w:sz="0" w:space="0" w:color="auto"/>
        <w:right w:val="none" w:sz="0" w:space="0" w:color="auto"/>
      </w:divBdr>
    </w:div>
    <w:div w:id="1839543125">
      <w:bodyDiv w:val="1"/>
      <w:marLeft w:val="0"/>
      <w:marRight w:val="0"/>
      <w:marTop w:val="0"/>
      <w:marBottom w:val="0"/>
      <w:divBdr>
        <w:top w:val="none" w:sz="0" w:space="0" w:color="auto"/>
        <w:left w:val="none" w:sz="0" w:space="0" w:color="auto"/>
        <w:bottom w:val="none" w:sz="0" w:space="0" w:color="auto"/>
        <w:right w:val="none" w:sz="0" w:space="0" w:color="auto"/>
      </w:divBdr>
    </w:div>
    <w:div w:id="1865435318">
      <w:bodyDiv w:val="1"/>
      <w:marLeft w:val="0"/>
      <w:marRight w:val="0"/>
      <w:marTop w:val="0"/>
      <w:marBottom w:val="0"/>
      <w:divBdr>
        <w:top w:val="none" w:sz="0" w:space="0" w:color="auto"/>
        <w:left w:val="none" w:sz="0" w:space="0" w:color="auto"/>
        <w:bottom w:val="none" w:sz="0" w:space="0" w:color="auto"/>
        <w:right w:val="none" w:sz="0" w:space="0" w:color="auto"/>
      </w:divBdr>
    </w:div>
    <w:div w:id="1868979517">
      <w:bodyDiv w:val="1"/>
      <w:marLeft w:val="0"/>
      <w:marRight w:val="0"/>
      <w:marTop w:val="0"/>
      <w:marBottom w:val="0"/>
      <w:divBdr>
        <w:top w:val="none" w:sz="0" w:space="0" w:color="auto"/>
        <w:left w:val="none" w:sz="0" w:space="0" w:color="auto"/>
        <w:bottom w:val="none" w:sz="0" w:space="0" w:color="auto"/>
        <w:right w:val="none" w:sz="0" w:space="0" w:color="auto"/>
      </w:divBdr>
    </w:div>
    <w:div w:id="1872723471">
      <w:bodyDiv w:val="1"/>
      <w:marLeft w:val="0"/>
      <w:marRight w:val="0"/>
      <w:marTop w:val="0"/>
      <w:marBottom w:val="0"/>
      <w:divBdr>
        <w:top w:val="none" w:sz="0" w:space="0" w:color="auto"/>
        <w:left w:val="none" w:sz="0" w:space="0" w:color="auto"/>
        <w:bottom w:val="none" w:sz="0" w:space="0" w:color="auto"/>
        <w:right w:val="none" w:sz="0" w:space="0" w:color="auto"/>
      </w:divBdr>
    </w:div>
    <w:div w:id="1874226394">
      <w:bodyDiv w:val="1"/>
      <w:marLeft w:val="0"/>
      <w:marRight w:val="0"/>
      <w:marTop w:val="0"/>
      <w:marBottom w:val="0"/>
      <w:divBdr>
        <w:top w:val="none" w:sz="0" w:space="0" w:color="auto"/>
        <w:left w:val="none" w:sz="0" w:space="0" w:color="auto"/>
        <w:bottom w:val="none" w:sz="0" w:space="0" w:color="auto"/>
        <w:right w:val="none" w:sz="0" w:space="0" w:color="auto"/>
      </w:divBdr>
    </w:div>
    <w:div w:id="1881747372">
      <w:bodyDiv w:val="1"/>
      <w:marLeft w:val="0"/>
      <w:marRight w:val="0"/>
      <w:marTop w:val="0"/>
      <w:marBottom w:val="0"/>
      <w:divBdr>
        <w:top w:val="none" w:sz="0" w:space="0" w:color="auto"/>
        <w:left w:val="none" w:sz="0" w:space="0" w:color="auto"/>
        <w:bottom w:val="none" w:sz="0" w:space="0" w:color="auto"/>
        <w:right w:val="none" w:sz="0" w:space="0" w:color="auto"/>
      </w:divBdr>
    </w:div>
    <w:div w:id="1883050883">
      <w:bodyDiv w:val="1"/>
      <w:marLeft w:val="0"/>
      <w:marRight w:val="0"/>
      <w:marTop w:val="0"/>
      <w:marBottom w:val="0"/>
      <w:divBdr>
        <w:top w:val="none" w:sz="0" w:space="0" w:color="auto"/>
        <w:left w:val="none" w:sz="0" w:space="0" w:color="auto"/>
        <w:bottom w:val="none" w:sz="0" w:space="0" w:color="auto"/>
        <w:right w:val="none" w:sz="0" w:space="0" w:color="auto"/>
      </w:divBdr>
    </w:div>
    <w:div w:id="1884322473">
      <w:bodyDiv w:val="1"/>
      <w:marLeft w:val="0"/>
      <w:marRight w:val="0"/>
      <w:marTop w:val="0"/>
      <w:marBottom w:val="0"/>
      <w:divBdr>
        <w:top w:val="none" w:sz="0" w:space="0" w:color="auto"/>
        <w:left w:val="none" w:sz="0" w:space="0" w:color="auto"/>
        <w:bottom w:val="none" w:sz="0" w:space="0" w:color="auto"/>
        <w:right w:val="none" w:sz="0" w:space="0" w:color="auto"/>
      </w:divBdr>
    </w:div>
    <w:div w:id="1888567079">
      <w:bodyDiv w:val="1"/>
      <w:marLeft w:val="0"/>
      <w:marRight w:val="0"/>
      <w:marTop w:val="0"/>
      <w:marBottom w:val="0"/>
      <w:divBdr>
        <w:top w:val="none" w:sz="0" w:space="0" w:color="auto"/>
        <w:left w:val="none" w:sz="0" w:space="0" w:color="auto"/>
        <w:bottom w:val="none" w:sz="0" w:space="0" w:color="auto"/>
        <w:right w:val="none" w:sz="0" w:space="0" w:color="auto"/>
      </w:divBdr>
    </w:div>
    <w:div w:id="1895582404">
      <w:bodyDiv w:val="1"/>
      <w:marLeft w:val="0"/>
      <w:marRight w:val="0"/>
      <w:marTop w:val="0"/>
      <w:marBottom w:val="0"/>
      <w:divBdr>
        <w:top w:val="none" w:sz="0" w:space="0" w:color="auto"/>
        <w:left w:val="none" w:sz="0" w:space="0" w:color="auto"/>
        <w:bottom w:val="none" w:sz="0" w:space="0" w:color="auto"/>
        <w:right w:val="none" w:sz="0" w:space="0" w:color="auto"/>
      </w:divBdr>
    </w:div>
    <w:div w:id="1907956387">
      <w:bodyDiv w:val="1"/>
      <w:marLeft w:val="0"/>
      <w:marRight w:val="0"/>
      <w:marTop w:val="0"/>
      <w:marBottom w:val="0"/>
      <w:divBdr>
        <w:top w:val="none" w:sz="0" w:space="0" w:color="auto"/>
        <w:left w:val="none" w:sz="0" w:space="0" w:color="auto"/>
        <w:bottom w:val="none" w:sz="0" w:space="0" w:color="auto"/>
        <w:right w:val="none" w:sz="0" w:space="0" w:color="auto"/>
      </w:divBdr>
    </w:div>
    <w:div w:id="1909147504">
      <w:bodyDiv w:val="1"/>
      <w:marLeft w:val="0"/>
      <w:marRight w:val="0"/>
      <w:marTop w:val="0"/>
      <w:marBottom w:val="0"/>
      <w:divBdr>
        <w:top w:val="none" w:sz="0" w:space="0" w:color="auto"/>
        <w:left w:val="none" w:sz="0" w:space="0" w:color="auto"/>
        <w:bottom w:val="none" w:sz="0" w:space="0" w:color="auto"/>
        <w:right w:val="none" w:sz="0" w:space="0" w:color="auto"/>
      </w:divBdr>
    </w:div>
    <w:div w:id="1927809283">
      <w:bodyDiv w:val="1"/>
      <w:marLeft w:val="0"/>
      <w:marRight w:val="0"/>
      <w:marTop w:val="0"/>
      <w:marBottom w:val="0"/>
      <w:divBdr>
        <w:top w:val="none" w:sz="0" w:space="0" w:color="auto"/>
        <w:left w:val="none" w:sz="0" w:space="0" w:color="auto"/>
        <w:bottom w:val="none" w:sz="0" w:space="0" w:color="auto"/>
        <w:right w:val="none" w:sz="0" w:space="0" w:color="auto"/>
      </w:divBdr>
    </w:div>
    <w:div w:id="1949502273">
      <w:bodyDiv w:val="1"/>
      <w:marLeft w:val="0"/>
      <w:marRight w:val="0"/>
      <w:marTop w:val="0"/>
      <w:marBottom w:val="0"/>
      <w:divBdr>
        <w:top w:val="none" w:sz="0" w:space="0" w:color="auto"/>
        <w:left w:val="none" w:sz="0" w:space="0" w:color="auto"/>
        <w:bottom w:val="none" w:sz="0" w:space="0" w:color="auto"/>
        <w:right w:val="none" w:sz="0" w:space="0" w:color="auto"/>
      </w:divBdr>
    </w:div>
    <w:div w:id="1953583781">
      <w:bodyDiv w:val="1"/>
      <w:marLeft w:val="0"/>
      <w:marRight w:val="0"/>
      <w:marTop w:val="0"/>
      <w:marBottom w:val="0"/>
      <w:divBdr>
        <w:top w:val="none" w:sz="0" w:space="0" w:color="auto"/>
        <w:left w:val="none" w:sz="0" w:space="0" w:color="auto"/>
        <w:bottom w:val="none" w:sz="0" w:space="0" w:color="auto"/>
        <w:right w:val="none" w:sz="0" w:space="0" w:color="auto"/>
      </w:divBdr>
    </w:div>
    <w:div w:id="1957827501">
      <w:bodyDiv w:val="1"/>
      <w:marLeft w:val="0"/>
      <w:marRight w:val="0"/>
      <w:marTop w:val="0"/>
      <w:marBottom w:val="0"/>
      <w:divBdr>
        <w:top w:val="none" w:sz="0" w:space="0" w:color="auto"/>
        <w:left w:val="none" w:sz="0" w:space="0" w:color="auto"/>
        <w:bottom w:val="none" w:sz="0" w:space="0" w:color="auto"/>
        <w:right w:val="none" w:sz="0" w:space="0" w:color="auto"/>
      </w:divBdr>
    </w:div>
    <w:div w:id="1960213535">
      <w:bodyDiv w:val="1"/>
      <w:marLeft w:val="0"/>
      <w:marRight w:val="0"/>
      <w:marTop w:val="0"/>
      <w:marBottom w:val="0"/>
      <w:divBdr>
        <w:top w:val="none" w:sz="0" w:space="0" w:color="auto"/>
        <w:left w:val="none" w:sz="0" w:space="0" w:color="auto"/>
        <w:bottom w:val="none" w:sz="0" w:space="0" w:color="auto"/>
        <w:right w:val="none" w:sz="0" w:space="0" w:color="auto"/>
      </w:divBdr>
    </w:div>
    <w:div w:id="1963876510">
      <w:bodyDiv w:val="1"/>
      <w:marLeft w:val="0"/>
      <w:marRight w:val="0"/>
      <w:marTop w:val="0"/>
      <w:marBottom w:val="0"/>
      <w:divBdr>
        <w:top w:val="none" w:sz="0" w:space="0" w:color="auto"/>
        <w:left w:val="none" w:sz="0" w:space="0" w:color="auto"/>
        <w:bottom w:val="none" w:sz="0" w:space="0" w:color="auto"/>
        <w:right w:val="none" w:sz="0" w:space="0" w:color="auto"/>
      </w:divBdr>
    </w:div>
    <w:div w:id="1971472405">
      <w:bodyDiv w:val="1"/>
      <w:marLeft w:val="0"/>
      <w:marRight w:val="0"/>
      <w:marTop w:val="0"/>
      <w:marBottom w:val="0"/>
      <w:divBdr>
        <w:top w:val="none" w:sz="0" w:space="0" w:color="auto"/>
        <w:left w:val="none" w:sz="0" w:space="0" w:color="auto"/>
        <w:bottom w:val="none" w:sz="0" w:space="0" w:color="auto"/>
        <w:right w:val="none" w:sz="0" w:space="0" w:color="auto"/>
      </w:divBdr>
    </w:div>
    <w:div w:id="1979795193">
      <w:bodyDiv w:val="1"/>
      <w:marLeft w:val="0"/>
      <w:marRight w:val="0"/>
      <w:marTop w:val="0"/>
      <w:marBottom w:val="0"/>
      <w:divBdr>
        <w:top w:val="none" w:sz="0" w:space="0" w:color="auto"/>
        <w:left w:val="none" w:sz="0" w:space="0" w:color="auto"/>
        <w:bottom w:val="none" w:sz="0" w:space="0" w:color="auto"/>
        <w:right w:val="none" w:sz="0" w:space="0" w:color="auto"/>
      </w:divBdr>
    </w:div>
    <w:div w:id="1989750071">
      <w:bodyDiv w:val="1"/>
      <w:marLeft w:val="0"/>
      <w:marRight w:val="0"/>
      <w:marTop w:val="0"/>
      <w:marBottom w:val="0"/>
      <w:divBdr>
        <w:top w:val="none" w:sz="0" w:space="0" w:color="auto"/>
        <w:left w:val="none" w:sz="0" w:space="0" w:color="auto"/>
        <w:bottom w:val="none" w:sz="0" w:space="0" w:color="auto"/>
        <w:right w:val="none" w:sz="0" w:space="0" w:color="auto"/>
      </w:divBdr>
    </w:div>
    <w:div w:id="2026898442">
      <w:bodyDiv w:val="1"/>
      <w:marLeft w:val="0"/>
      <w:marRight w:val="0"/>
      <w:marTop w:val="0"/>
      <w:marBottom w:val="0"/>
      <w:divBdr>
        <w:top w:val="none" w:sz="0" w:space="0" w:color="auto"/>
        <w:left w:val="none" w:sz="0" w:space="0" w:color="auto"/>
        <w:bottom w:val="none" w:sz="0" w:space="0" w:color="auto"/>
        <w:right w:val="none" w:sz="0" w:space="0" w:color="auto"/>
      </w:divBdr>
    </w:div>
    <w:div w:id="2037465651">
      <w:bodyDiv w:val="1"/>
      <w:marLeft w:val="0"/>
      <w:marRight w:val="0"/>
      <w:marTop w:val="0"/>
      <w:marBottom w:val="0"/>
      <w:divBdr>
        <w:top w:val="none" w:sz="0" w:space="0" w:color="auto"/>
        <w:left w:val="none" w:sz="0" w:space="0" w:color="auto"/>
        <w:bottom w:val="none" w:sz="0" w:space="0" w:color="auto"/>
        <w:right w:val="none" w:sz="0" w:space="0" w:color="auto"/>
      </w:divBdr>
    </w:div>
    <w:div w:id="2045714308">
      <w:bodyDiv w:val="1"/>
      <w:marLeft w:val="0"/>
      <w:marRight w:val="0"/>
      <w:marTop w:val="0"/>
      <w:marBottom w:val="0"/>
      <w:divBdr>
        <w:top w:val="none" w:sz="0" w:space="0" w:color="auto"/>
        <w:left w:val="none" w:sz="0" w:space="0" w:color="auto"/>
        <w:bottom w:val="none" w:sz="0" w:space="0" w:color="auto"/>
        <w:right w:val="none" w:sz="0" w:space="0" w:color="auto"/>
      </w:divBdr>
    </w:div>
    <w:div w:id="2045908215">
      <w:bodyDiv w:val="1"/>
      <w:marLeft w:val="0"/>
      <w:marRight w:val="0"/>
      <w:marTop w:val="0"/>
      <w:marBottom w:val="0"/>
      <w:divBdr>
        <w:top w:val="none" w:sz="0" w:space="0" w:color="auto"/>
        <w:left w:val="none" w:sz="0" w:space="0" w:color="auto"/>
        <w:bottom w:val="none" w:sz="0" w:space="0" w:color="auto"/>
        <w:right w:val="none" w:sz="0" w:space="0" w:color="auto"/>
      </w:divBdr>
    </w:div>
    <w:div w:id="2055540744">
      <w:bodyDiv w:val="1"/>
      <w:marLeft w:val="0"/>
      <w:marRight w:val="0"/>
      <w:marTop w:val="0"/>
      <w:marBottom w:val="0"/>
      <w:divBdr>
        <w:top w:val="none" w:sz="0" w:space="0" w:color="auto"/>
        <w:left w:val="none" w:sz="0" w:space="0" w:color="auto"/>
        <w:bottom w:val="none" w:sz="0" w:space="0" w:color="auto"/>
        <w:right w:val="none" w:sz="0" w:space="0" w:color="auto"/>
      </w:divBdr>
    </w:div>
    <w:div w:id="2055687674">
      <w:bodyDiv w:val="1"/>
      <w:marLeft w:val="0"/>
      <w:marRight w:val="0"/>
      <w:marTop w:val="0"/>
      <w:marBottom w:val="0"/>
      <w:divBdr>
        <w:top w:val="none" w:sz="0" w:space="0" w:color="auto"/>
        <w:left w:val="none" w:sz="0" w:space="0" w:color="auto"/>
        <w:bottom w:val="none" w:sz="0" w:space="0" w:color="auto"/>
        <w:right w:val="none" w:sz="0" w:space="0" w:color="auto"/>
      </w:divBdr>
    </w:div>
    <w:div w:id="2076388199">
      <w:bodyDiv w:val="1"/>
      <w:marLeft w:val="0"/>
      <w:marRight w:val="0"/>
      <w:marTop w:val="0"/>
      <w:marBottom w:val="0"/>
      <w:divBdr>
        <w:top w:val="none" w:sz="0" w:space="0" w:color="auto"/>
        <w:left w:val="none" w:sz="0" w:space="0" w:color="auto"/>
        <w:bottom w:val="none" w:sz="0" w:space="0" w:color="auto"/>
        <w:right w:val="none" w:sz="0" w:space="0" w:color="auto"/>
      </w:divBdr>
    </w:div>
    <w:div w:id="2082218565">
      <w:bodyDiv w:val="1"/>
      <w:marLeft w:val="0"/>
      <w:marRight w:val="0"/>
      <w:marTop w:val="0"/>
      <w:marBottom w:val="0"/>
      <w:divBdr>
        <w:top w:val="none" w:sz="0" w:space="0" w:color="auto"/>
        <w:left w:val="none" w:sz="0" w:space="0" w:color="auto"/>
        <w:bottom w:val="none" w:sz="0" w:space="0" w:color="auto"/>
        <w:right w:val="none" w:sz="0" w:space="0" w:color="auto"/>
      </w:divBdr>
    </w:div>
    <w:div w:id="2085909974">
      <w:bodyDiv w:val="1"/>
      <w:marLeft w:val="0"/>
      <w:marRight w:val="0"/>
      <w:marTop w:val="0"/>
      <w:marBottom w:val="0"/>
      <w:divBdr>
        <w:top w:val="none" w:sz="0" w:space="0" w:color="auto"/>
        <w:left w:val="none" w:sz="0" w:space="0" w:color="auto"/>
        <w:bottom w:val="none" w:sz="0" w:space="0" w:color="auto"/>
        <w:right w:val="none" w:sz="0" w:space="0" w:color="auto"/>
      </w:divBdr>
    </w:div>
    <w:div w:id="2094282558">
      <w:bodyDiv w:val="1"/>
      <w:marLeft w:val="0"/>
      <w:marRight w:val="0"/>
      <w:marTop w:val="0"/>
      <w:marBottom w:val="0"/>
      <w:divBdr>
        <w:top w:val="none" w:sz="0" w:space="0" w:color="auto"/>
        <w:left w:val="none" w:sz="0" w:space="0" w:color="auto"/>
        <w:bottom w:val="none" w:sz="0" w:space="0" w:color="auto"/>
        <w:right w:val="none" w:sz="0" w:space="0" w:color="auto"/>
      </w:divBdr>
    </w:div>
    <w:div w:id="2127776786">
      <w:bodyDiv w:val="1"/>
      <w:marLeft w:val="0"/>
      <w:marRight w:val="0"/>
      <w:marTop w:val="0"/>
      <w:marBottom w:val="0"/>
      <w:divBdr>
        <w:top w:val="none" w:sz="0" w:space="0" w:color="auto"/>
        <w:left w:val="none" w:sz="0" w:space="0" w:color="auto"/>
        <w:bottom w:val="none" w:sz="0" w:space="0" w:color="auto"/>
        <w:right w:val="none" w:sz="0" w:space="0" w:color="auto"/>
      </w:divBdr>
    </w:div>
    <w:div w:id="2133209794">
      <w:bodyDiv w:val="1"/>
      <w:marLeft w:val="0"/>
      <w:marRight w:val="0"/>
      <w:marTop w:val="0"/>
      <w:marBottom w:val="0"/>
      <w:divBdr>
        <w:top w:val="none" w:sz="0" w:space="0" w:color="auto"/>
        <w:left w:val="none" w:sz="0" w:space="0" w:color="auto"/>
        <w:bottom w:val="none" w:sz="0" w:space="0" w:color="auto"/>
        <w:right w:val="none" w:sz="0" w:space="0" w:color="auto"/>
      </w:divBdr>
    </w:div>
    <w:div w:id="2133547318">
      <w:bodyDiv w:val="1"/>
      <w:marLeft w:val="0"/>
      <w:marRight w:val="0"/>
      <w:marTop w:val="0"/>
      <w:marBottom w:val="0"/>
      <w:divBdr>
        <w:top w:val="none" w:sz="0" w:space="0" w:color="auto"/>
        <w:left w:val="none" w:sz="0" w:space="0" w:color="auto"/>
        <w:bottom w:val="none" w:sz="0" w:space="0" w:color="auto"/>
        <w:right w:val="none" w:sz="0" w:space="0" w:color="auto"/>
      </w:divBdr>
    </w:div>
    <w:div w:id="21407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D986-A807-4BEA-9B2D-3CBDEE2C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9790</Words>
  <Characters>57761</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Horáček</dc:creator>
  <cp:lastModifiedBy>Jakub Horáček</cp:lastModifiedBy>
  <cp:revision>5</cp:revision>
  <cp:lastPrinted>2015-09-02T10:13:00Z</cp:lastPrinted>
  <dcterms:created xsi:type="dcterms:W3CDTF">2015-09-03T07:26:00Z</dcterms:created>
  <dcterms:modified xsi:type="dcterms:W3CDTF">2015-09-24T11:32:00Z</dcterms:modified>
</cp:coreProperties>
</file>