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E8" w:rsidRDefault="003E39E8" w:rsidP="003E39E8">
      <w:pPr>
        <w:spacing w:before="1200" w:line="276" w:lineRule="auto"/>
        <w:jc w:val="center"/>
        <w:rPr>
          <w:rFonts w:ascii="Arial" w:hAnsi="Arial" w:cs="Arial"/>
          <w:b/>
          <w:sz w:val="32"/>
          <w:szCs w:val="28"/>
        </w:rPr>
      </w:pPr>
      <w:bookmarkStart w:id="0" w:name="_GoBack"/>
      <w:bookmarkEnd w:id="0"/>
      <w:r w:rsidRPr="009159DE">
        <w:rPr>
          <w:rFonts w:ascii="Arial" w:hAnsi="Arial" w:cs="Arial"/>
          <w:noProof/>
          <w:sz w:val="28"/>
        </w:rPr>
        <w:drawing>
          <wp:anchor distT="0" distB="0" distL="114300" distR="114300" simplePos="0" relativeHeight="251659264" behindDoc="0" locked="0" layoutInCell="1" allowOverlap="1" wp14:anchorId="78537399" wp14:editId="3486ADF8">
            <wp:simplePos x="0" y="0"/>
            <wp:positionH relativeFrom="margin">
              <wp:posOffset>2584800</wp:posOffset>
            </wp:positionH>
            <wp:positionV relativeFrom="margin">
              <wp:posOffset>784800</wp:posOffset>
            </wp:positionV>
            <wp:extent cx="579755" cy="6921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755"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9E8" w:rsidRPr="009159DE" w:rsidRDefault="003E39E8" w:rsidP="003E39E8">
      <w:pPr>
        <w:spacing w:before="1200" w:line="276" w:lineRule="auto"/>
        <w:jc w:val="center"/>
        <w:rPr>
          <w:rFonts w:ascii="Arial" w:hAnsi="Arial" w:cs="Arial"/>
          <w:b/>
          <w:sz w:val="32"/>
          <w:szCs w:val="28"/>
        </w:rPr>
      </w:pPr>
      <w:r w:rsidRPr="009159DE">
        <w:rPr>
          <w:rFonts w:ascii="Arial" w:hAnsi="Arial" w:cs="Arial"/>
          <w:b/>
          <w:sz w:val="32"/>
          <w:szCs w:val="28"/>
        </w:rPr>
        <w:t>USNESENÍ</w:t>
      </w:r>
    </w:p>
    <w:p w:rsidR="003E39E8" w:rsidRPr="00376238" w:rsidRDefault="003E39E8" w:rsidP="003E39E8">
      <w:pPr>
        <w:spacing w:line="276" w:lineRule="auto"/>
        <w:jc w:val="center"/>
        <w:rPr>
          <w:rFonts w:ascii="Arial" w:hAnsi="Arial" w:cs="Arial"/>
          <w:b/>
          <w:sz w:val="28"/>
          <w:szCs w:val="28"/>
        </w:rPr>
      </w:pPr>
      <w:r w:rsidRPr="00376238">
        <w:rPr>
          <w:rFonts w:ascii="Arial" w:hAnsi="Arial" w:cs="Arial"/>
          <w:b/>
          <w:sz w:val="28"/>
          <w:szCs w:val="28"/>
        </w:rPr>
        <w:t>VLÁDY ČESKÉ REPUBLIKY</w:t>
      </w:r>
    </w:p>
    <w:p w:rsidR="003E39E8" w:rsidRDefault="003E39E8" w:rsidP="003E39E8">
      <w:pPr>
        <w:jc w:val="center"/>
        <w:rPr>
          <w:rFonts w:ascii="Arial" w:hAnsi="Arial" w:cs="Arial"/>
          <w:b/>
          <w:bCs/>
        </w:rPr>
      </w:pPr>
      <w:r w:rsidRPr="003375EF">
        <w:rPr>
          <w:rFonts w:ascii="Arial" w:hAnsi="Arial" w:cs="Arial"/>
        </w:rPr>
        <w:t xml:space="preserve">ze dne </w:t>
      </w:r>
      <w:r>
        <w:rPr>
          <w:rFonts w:ascii="Arial" w:hAnsi="Arial" w:cs="Arial"/>
        </w:rPr>
        <w:t>19. října 2015 č. 828</w:t>
      </w:r>
      <w:r>
        <w:rPr>
          <w:rFonts w:ascii="Arial" w:hAnsi="Arial" w:cs="Arial"/>
        </w:rPr>
        <w:br/>
      </w:r>
      <w:r>
        <w:rPr>
          <w:rFonts w:ascii="Arial" w:hAnsi="Arial" w:cs="Arial"/>
        </w:rPr>
        <w:br/>
      </w:r>
      <w:r>
        <w:rPr>
          <w:rFonts w:ascii="Arial" w:hAnsi="Arial" w:cs="Arial"/>
          <w:b/>
          <w:bCs/>
        </w:rPr>
        <w:t>o souhlasu s bezúplatným převodem n</w:t>
      </w:r>
      <w:r w:rsidRPr="007F23EB">
        <w:rPr>
          <w:rFonts w:ascii="Arial" w:hAnsi="Arial" w:cs="Arial"/>
          <w:b/>
          <w:bCs/>
        </w:rPr>
        <w:t xml:space="preserve">epotřebného majetku státu, </w:t>
      </w:r>
      <w:r>
        <w:rPr>
          <w:rFonts w:ascii="Arial" w:hAnsi="Arial" w:cs="Arial"/>
          <w:b/>
          <w:bCs/>
        </w:rPr>
        <w:br/>
      </w:r>
      <w:r w:rsidRPr="007F23EB">
        <w:rPr>
          <w:rFonts w:ascii="Arial" w:hAnsi="Arial" w:cs="Arial"/>
          <w:b/>
          <w:bCs/>
        </w:rPr>
        <w:t xml:space="preserve">s nímž má právo hospodařit </w:t>
      </w:r>
      <w:r>
        <w:rPr>
          <w:rFonts w:ascii="Arial" w:hAnsi="Arial" w:cs="Arial"/>
          <w:b/>
          <w:bCs/>
        </w:rPr>
        <w:t xml:space="preserve">podnik </w:t>
      </w:r>
      <w:r w:rsidRPr="007F23EB">
        <w:rPr>
          <w:rFonts w:ascii="Arial" w:hAnsi="Arial" w:cs="Arial"/>
          <w:b/>
          <w:bCs/>
        </w:rPr>
        <w:t>Palivov</w:t>
      </w:r>
      <w:r>
        <w:rPr>
          <w:rFonts w:ascii="Arial" w:hAnsi="Arial" w:cs="Arial"/>
          <w:b/>
          <w:bCs/>
        </w:rPr>
        <w:t>ý kombinát Ústí, státní podnik,</w:t>
      </w:r>
    </w:p>
    <w:p w:rsidR="003E39E8" w:rsidRDefault="003E39E8" w:rsidP="003E39E8">
      <w:pPr>
        <w:spacing w:after="200"/>
        <w:jc w:val="center"/>
        <w:rPr>
          <w:rFonts w:ascii="Arial" w:hAnsi="Arial" w:cs="Arial"/>
          <w:b/>
        </w:rPr>
      </w:pPr>
      <w:r>
        <w:rPr>
          <w:rFonts w:ascii="Arial" w:hAnsi="Arial" w:cs="Arial"/>
          <w:b/>
          <w:bCs/>
        </w:rPr>
        <w:t>do vlastnictví Statutárního města Chomutov</w:t>
      </w:r>
      <w:r>
        <w:rPr>
          <w:rFonts w:ascii="Arial" w:hAnsi="Arial" w:cs="Arial"/>
          <w:b/>
          <w:bCs/>
        </w:rPr>
        <w:br/>
      </w:r>
    </w:p>
    <w:p w:rsidR="003E39E8" w:rsidRDefault="003E39E8" w:rsidP="003E39E8">
      <w:pPr>
        <w:spacing w:before="120" w:after="240"/>
        <w:rPr>
          <w:rFonts w:ascii="Arial" w:hAnsi="Arial" w:cs="Arial"/>
          <w:b/>
        </w:rPr>
      </w:pPr>
      <w:r>
        <w:rPr>
          <w:rFonts w:ascii="Arial" w:hAnsi="Arial" w:cs="Arial"/>
          <w:b/>
        </w:rPr>
        <w:t>Vláda</w:t>
      </w:r>
    </w:p>
    <w:p w:rsidR="003E39E8" w:rsidRPr="007F23EB" w:rsidRDefault="003E39E8" w:rsidP="003E39E8">
      <w:pPr>
        <w:pStyle w:val="Styl1-I"/>
        <w:numPr>
          <w:ilvl w:val="0"/>
          <w:numId w:val="2"/>
        </w:numPr>
        <w:ind w:left="357" w:hanging="357"/>
        <w:textAlignment w:val="auto"/>
      </w:pPr>
      <w:r>
        <w:rPr>
          <w:b/>
        </w:rPr>
        <w:t xml:space="preserve">souhlasí </w:t>
      </w:r>
      <w:r w:rsidRPr="00A73377">
        <w:rPr>
          <w:bCs/>
        </w:rPr>
        <w:t>ve smyslu ustanovení § 16</w:t>
      </w:r>
      <w:r>
        <w:rPr>
          <w:bCs/>
        </w:rPr>
        <w:t xml:space="preserve"> odst. 9 zákona č. 77/1997 Sb., </w:t>
      </w:r>
      <w:r w:rsidRPr="00A73377">
        <w:rPr>
          <w:bCs/>
        </w:rPr>
        <w:t>o státním podnik</w:t>
      </w:r>
      <w:r>
        <w:rPr>
          <w:bCs/>
        </w:rPr>
        <w:t>u, ve znění pozdějších předpisů, s</w:t>
      </w:r>
      <w:r w:rsidRPr="00A73377">
        <w:rPr>
          <w:bCs/>
        </w:rPr>
        <w:t xml:space="preserve"> </w:t>
      </w:r>
      <w:r>
        <w:rPr>
          <w:bCs/>
        </w:rPr>
        <w:t>bezúplatným převodem majetku státu uvedeným v příloze tohoto</w:t>
      </w:r>
      <w:r w:rsidRPr="00A73377">
        <w:rPr>
          <w:bCs/>
        </w:rPr>
        <w:t xml:space="preserve"> usnesení, s nímž má právo hospodařit </w:t>
      </w:r>
      <w:r>
        <w:rPr>
          <w:bCs/>
        </w:rPr>
        <w:t xml:space="preserve">podnik </w:t>
      </w:r>
      <w:r w:rsidRPr="00A73377">
        <w:rPr>
          <w:bCs/>
        </w:rPr>
        <w:t>Palivový kombinát Ústí, státní podnik, do vlastnictví Statutárního města Chomutova s tím, že převod bude realizo</w:t>
      </w:r>
      <w:r>
        <w:rPr>
          <w:bCs/>
        </w:rPr>
        <w:t>ván na základě darovací smlouvy mezi</w:t>
      </w:r>
    </w:p>
    <w:p w:rsidR="003E39E8" w:rsidRPr="007F23EB" w:rsidRDefault="003E39E8" w:rsidP="003E39E8">
      <w:pPr>
        <w:pStyle w:val="Styl1-I"/>
        <w:numPr>
          <w:ilvl w:val="0"/>
          <w:numId w:val="0"/>
        </w:numPr>
        <w:spacing w:before="360"/>
      </w:pPr>
      <w:r w:rsidRPr="007F23EB">
        <w:t>dárcem:</w:t>
      </w:r>
    </w:p>
    <w:p w:rsidR="003E39E8" w:rsidRPr="007F23EB" w:rsidRDefault="003E39E8" w:rsidP="003E39E8">
      <w:pPr>
        <w:pStyle w:val="Styl1-I"/>
        <w:numPr>
          <w:ilvl w:val="0"/>
          <w:numId w:val="0"/>
        </w:numPr>
        <w:spacing w:before="360"/>
      </w:pPr>
      <w:r w:rsidRPr="007F23EB">
        <w:t xml:space="preserve">Palivový kombinát Ústí, státní podnik, Hrbovická 2, </w:t>
      </w:r>
      <w:proofErr w:type="spellStart"/>
      <w:r w:rsidRPr="007F23EB">
        <w:t>Hrbovice</w:t>
      </w:r>
      <w:proofErr w:type="spellEnd"/>
      <w:r w:rsidRPr="007F23EB">
        <w:t xml:space="preserve">, </w:t>
      </w:r>
      <w:r>
        <w:t xml:space="preserve">PSČ 403 39 Chlumec, </w:t>
      </w:r>
      <w:r>
        <w:br/>
      </w:r>
      <w:r w:rsidRPr="007F23EB">
        <w:t>IČ: 000 07 536</w:t>
      </w:r>
    </w:p>
    <w:p w:rsidR="003E39E8" w:rsidRPr="007F23EB" w:rsidRDefault="003E39E8" w:rsidP="003E39E8">
      <w:pPr>
        <w:pStyle w:val="Styl1-I"/>
        <w:numPr>
          <w:ilvl w:val="0"/>
          <w:numId w:val="0"/>
        </w:numPr>
        <w:spacing w:before="360"/>
        <w:ind w:left="357" w:hanging="357"/>
      </w:pPr>
      <w:r w:rsidRPr="007F23EB">
        <w:t>a obdarovaným:</w:t>
      </w:r>
    </w:p>
    <w:p w:rsidR="003E39E8" w:rsidRPr="007F23EB" w:rsidRDefault="003E39E8" w:rsidP="003E39E8">
      <w:pPr>
        <w:pStyle w:val="Styl1-I"/>
        <w:numPr>
          <w:ilvl w:val="0"/>
          <w:numId w:val="0"/>
        </w:numPr>
        <w:spacing w:before="360"/>
        <w:ind w:left="357" w:hanging="357"/>
      </w:pPr>
      <w:r w:rsidRPr="007F23EB">
        <w:t xml:space="preserve">Statutární město Chomutov, Zborovská 4602, PSČ </w:t>
      </w:r>
      <w:proofErr w:type="gramStart"/>
      <w:r w:rsidRPr="007F23EB">
        <w:t>430 01  Chomutov</w:t>
      </w:r>
      <w:proofErr w:type="gramEnd"/>
      <w:r w:rsidRPr="007F23EB">
        <w:t>, IČ: 002 61</w:t>
      </w:r>
      <w:r>
        <w:t> </w:t>
      </w:r>
      <w:r w:rsidRPr="007F23EB">
        <w:t>891</w:t>
      </w:r>
      <w:r>
        <w:t>;</w:t>
      </w:r>
    </w:p>
    <w:p w:rsidR="003E39E8" w:rsidRPr="007F23EB" w:rsidRDefault="003E39E8" w:rsidP="003E39E8">
      <w:pPr>
        <w:pStyle w:val="Styl1-I"/>
        <w:rPr>
          <w:b/>
          <w:u w:val="single"/>
        </w:rPr>
      </w:pPr>
      <w:r w:rsidRPr="007F23EB">
        <w:rPr>
          <w:b/>
        </w:rPr>
        <w:t>ukládá</w:t>
      </w:r>
      <w:r w:rsidRPr="007F23EB">
        <w:rPr>
          <w:bCs/>
        </w:rPr>
        <w:t xml:space="preserve"> </w:t>
      </w:r>
      <w:r w:rsidRPr="00A73377">
        <w:rPr>
          <w:bCs/>
        </w:rPr>
        <w:t>ministru průmyslu a obchodu zabezpeč</w:t>
      </w:r>
      <w:r>
        <w:rPr>
          <w:bCs/>
        </w:rPr>
        <w:t xml:space="preserve">it </w:t>
      </w:r>
      <w:r w:rsidRPr="00A73377">
        <w:rPr>
          <w:bCs/>
        </w:rPr>
        <w:t>pře</w:t>
      </w:r>
      <w:r>
        <w:rPr>
          <w:bCs/>
        </w:rPr>
        <w:t>vod majetku státu podle bodu I tohoto usnesení.</w:t>
      </w:r>
    </w:p>
    <w:p w:rsidR="003E39E8" w:rsidRPr="00BF5206" w:rsidRDefault="003E39E8" w:rsidP="003E39E8">
      <w:pPr>
        <w:pStyle w:val="Styl1-I"/>
        <w:numPr>
          <w:ilvl w:val="0"/>
          <w:numId w:val="0"/>
        </w:numPr>
        <w:spacing w:before="0" w:after="0"/>
        <w:rPr>
          <w:b/>
          <w:u w:val="single"/>
        </w:rPr>
      </w:pPr>
      <w:r>
        <w:rPr>
          <w:b/>
          <w:u w:val="single"/>
        </w:rPr>
        <w:t>Provede</w:t>
      </w:r>
      <w:r w:rsidRPr="00BF5206">
        <w:rPr>
          <w:b/>
          <w:u w:val="single"/>
        </w:rPr>
        <w:t>:</w:t>
      </w:r>
    </w:p>
    <w:p w:rsidR="003E39E8" w:rsidRDefault="003E39E8" w:rsidP="003E39E8">
      <w:pPr>
        <w:rPr>
          <w:rFonts w:ascii="Arial" w:hAnsi="Arial" w:cs="Arial"/>
        </w:rPr>
      </w:pPr>
      <w:r>
        <w:rPr>
          <w:rFonts w:ascii="Arial" w:hAnsi="Arial" w:cs="Arial"/>
        </w:rPr>
        <w:t>ministr průmyslu a obchodu</w:t>
      </w:r>
    </w:p>
    <w:p w:rsidR="003E39E8" w:rsidRDefault="003E39E8" w:rsidP="003E39E8">
      <w:pPr>
        <w:rPr>
          <w:rFonts w:ascii="Arial" w:hAnsi="Arial" w:cs="Arial"/>
          <w:bCs/>
        </w:rPr>
      </w:pPr>
    </w:p>
    <w:p w:rsidR="003E39E8" w:rsidRDefault="003E39E8" w:rsidP="003E39E8">
      <w:pPr>
        <w:rPr>
          <w:rFonts w:cs="Arial"/>
          <w:bCs/>
        </w:rPr>
      </w:pPr>
    </w:p>
    <w:p w:rsidR="003E39E8" w:rsidRDefault="003E39E8" w:rsidP="003E39E8">
      <w:pPr>
        <w:rPr>
          <w:rFonts w:cs="Arial"/>
          <w:bCs/>
        </w:rPr>
      </w:pPr>
    </w:p>
    <w:p w:rsidR="003E39E8" w:rsidRDefault="003E39E8" w:rsidP="003E39E8">
      <w:pPr>
        <w:jc w:val="center"/>
        <w:rPr>
          <w:rFonts w:ascii="Arial" w:hAnsi="Arial" w:cs="Arial"/>
        </w:rPr>
      </w:pPr>
    </w:p>
    <w:p w:rsidR="003E39E8" w:rsidRDefault="003E39E8" w:rsidP="003E39E8">
      <w:pPr>
        <w:jc w:val="center"/>
        <w:rPr>
          <w:rFonts w:ascii="Arial" w:hAnsi="Arial" w:cs="Arial"/>
        </w:rPr>
      </w:pPr>
    </w:p>
    <w:p w:rsidR="003E39E8" w:rsidRDefault="003E39E8" w:rsidP="003E39E8">
      <w:pPr>
        <w:jc w:val="center"/>
        <w:rPr>
          <w:rFonts w:ascii="Arial" w:hAnsi="Arial" w:cs="Arial"/>
        </w:rPr>
      </w:pPr>
    </w:p>
    <w:p w:rsidR="003E39E8" w:rsidRDefault="003E39E8" w:rsidP="003E39E8">
      <w:pPr>
        <w:jc w:val="both"/>
        <w:rPr>
          <w:rFonts w:ascii="Arial" w:hAnsi="Arial" w:cs="Arial"/>
          <w:bCs/>
        </w:rPr>
      </w:pPr>
      <w:r>
        <w:rPr>
          <w:rFonts w:ascii="Arial" w:hAnsi="Arial" w:cs="Arial"/>
          <w:bCs/>
        </w:rPr>
        <w:t xml:space="preserve">Mgr. Bohuslav Sobotka, v. r. </w:t>
      </w:r>
    </w:p>
    <w:p w:rsidR="003E39E8" w:rsidRDefault="003E39E8" w:rsidP="003E39E8">
      <w:pPr>
        <w:jc w:val="both"/>
        <w:rPr>
          <w:rFonts w:ascii="Arial" w:hAnsi="Arial" w:cs="Arial"/>
          <w:bCs/>
        </w:rPr>
      </w:pPr>
      <w:r>
        <w:rPr>
          <w:rFonts w:ascii="Arial" w:hAnsi="Arial" w:cs="Arial"/>
          <w:bCs/>
        </w:rPr>
        <w:t>předseda vlády</w:t>
      </w:r>
    </w:p>
    <w:p w:rsidR="003E39E8" w:rsidRPr="00323721" w:rsidRDefault="003E39E8" w:rsidP="003E39E8">
      <w:pPr>
        <w:jc w:val="center"/>
        <w:rPr>
          <w:rFonts w:ascii="Arial" w:hAnsi="Arial" w:cs="Arial"/>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Pr="00486B44" w:rsidRDefault="003E39E8" w:rsidP="003E39E8">
      <w:pPr>
        <w:spacing w:after="600"/>
        <w:ind w:left="5670"/>
        <w:rPr>
          <w:rFonts w:ascii="Arial" w:hAnsi="Arial" w:cs="Arial"/>
          <w:b/>
          <w:bCs/>
        </w:rPr>
      </w:pPr>
      <w:r w:rsidRPr="00486B44">
        <w:rPr>
          <w:rFonts w:ascii="Arial" w:hAnsi="Arial" w:cs="Arial"/>
        </w:rPr>
        <w:t>Příloha</w:t>
      </w:r>
      <w:r w:rsidRPr="00486B44">
        <w:rPr>
          <w:rFonts w:ascii="Arial" w:hAnsi="Arial" w:cs="Arial"/>
        </w:rPr>
        <w:br/>
        <w:t>usnesení vlády</w:t>
      </w:r>
      <w:r w:rsidRPr="00486B44">
        <w:rPr>
          <w:rFonts w:ascii="Arial" w:hAnsi="Arial" w:cs="Arial"/>
        </w:rPr>
        <w:br/>
        <w:t xml:space="preserve">ze dne </w:t>
      </w:r>
      <w:r>
        <w:rPr>
          <w:rFonts w:ascii="Arial" w:hAnsi="Arial" w:cs="Arial"/>
        </w:rPr>
        <w:t>19. října</w:t>
      </w:r>
      <w:r>
        <w:rPr>
          <w:rFonts w:ascii="Arial" w:hAnsi="Arial" w:cs="Arial"/>
          <w:bCs/>
        </w:rPr>
        <w:t xml:space="preserve"> 2015</w:t>
      </w:r>
      <w:r w:rsidRPr="00486B44">
        <w:rPr>
          <w:rFonts w:ascii="Arial" w:hAnsi="Arial" w:cs="Arial"/>
        </w:rPr>
        <w:t xml:space="preserve"> č. </w:t>
      </w:r>
      <w:r>
        <w:rPr>
          <w:rFonts w:ascii="Arial" w:hAnsi="Arial" w:cs="Arial"/>
        </w:rPr>
        <w:t>828</w:t>
      </w:r>
    </w:p>
    <w:p w:rsidR="003E39E8" w:rsidRDefault="003E39E8" w:rsidP="003E39E8">
      <w:pPr>
        <w:pStyle w:val="Zkladntext"/>
        <w:rPr>
          <w:iCs/>
        </w:rPr>
      </w:pPr>
    </w:p>
    <w:p w:rsidR="003E39E8" w:rsidRPr="000C66B4" w:rsidRDefault="003E39E8" w:rsidP="003E39E8">
      <w:pPr>
        <w:pStyle w:val="Zkladntext"/>
        <w:rPr>
          <w:iCs/>
        </w:rPr>
      </w:pPr>
    </w:p>
    <w:tbl>
      <w:tblPr>
        <w:tblW w:w="8903" w:type="dxa"/>
        <w:jc w:val="center"/>
        <w:tblBorders>
          <w:top w:val="single" w:sz="12" w:space="0" w:color="auto"/>
          <w:left w:val="single" w:sz="12" w:space="0" w:color="auto"/>
          <w:bottom w:val="single" w:sz="2" w:space="0" w:color="auto"/>
          <w:right w:val="single" w:sz="12" w:space="0" w:color="auto"/>
          <w:insideH w:val="single" w:sz="2" w:space="0" w:color="auto"/>
          <w:insideV w:val="single" w:sz="2" w:space="0" w:color="auto"/>
        </w:tblBorders>
        <w:tblCellMar>
          <w:left w:w="30" w:type="dxa"/>
          <w:right w:w="30" w:type="dxa"/>
        </w:tblCellMar>
        <w:tblLook w:val="00A0" w:firstRow="1" w:lastRow="0" w:firstColumn="1" w:lastColumn="0" w:noHBand="0" w:noVBand="0"/>
      </w:tblPr>
      <w:tblGrid>
        <w:gridCol w:w="1030"/>
        <w:gridCol w:w="944"/>
        <w:gridCol w:w="1550"/>
        <w:gridCol w:w="1752"/>
        <w:gridCol w:w="775"/>
        <w:gridCol w:w="901"/>
        <w:gridCol w:w="1209"/>
        <w:gridCol w:w="742"/>
      </w:tblGrid>
      <w:tr w:rsidR="003E39E8" w:rsidRPr="000C66B4" w:rsidTr="000B266E">
        <w:trPr>
          <w:trHeight w:val="247"/>
          <w:jc w:val="center"/>
        </w:trPr>
        <w:tc>
          <w:tcPr>
            <w:tcW w:w="1035" w:type="dxa"/>
            <w:tcBorders>
              <w:top w:val="single" w:sz="12" w:space="0" w:color="auto"/>
              <w:left w:val="single" w:sz="12" w:space="0" w:color="auto"/>
              <w:bottom w:val="single" w:sz="12" w:space="0" w:color="auto"/>
              <w:right w:val="single" w:sz="2" w:space="0" w:color="auto"/>
            </w:tcBorders>
            <w:shd w:val="clear" w:color="auto" w:fill="D9D9D9"/>
            <w:vAlign w:val="center"/>
          </w:tcPr>
          <w:p w:rsidR="003E39E8" w:rsidRPr="000C66B4" w:rsidRDefault="003E39E8" w:rsidP="000B266E">
            <w:pPr>
              <w:pStyle w:val="Zkladntext"/>
              <w:rPr>
                <w:b/>
                <w:bCs/>
              </w:rPr>
            </w:pPr>
            <w:proofErr w:type="spellStart"/>
            <w:r w:rsidRPr="000C66B4">
              <w:rPr>
                <w:b/>
                <w:bCs/>
              </w:rPr>
              <w:t>inv</w:t>
            </w:r>
            <w:proofErr w:type="spellEnd"/>
            <w:r w:rsidRPr="000C66B4">
              <w:rPr>
                <w:b/>
                <w:bCs/>
              </w:rPr>
              <w:t>. číslo</w:t>
            </w:r>
          </w:p>
        </w:tc>
        <w:tc>
          <w:tcPr>
            <w:tcW w:w="945" w:type="dxa"/>
            <w:tcBorders>
              <w:top w:val="single" w:sz="12" w:space="0" w:color="auto"/>
              <w:left w:val="single" w:sz="2" w:space="0" w:color="auto"/>
              <w:bottom w:val="single" w:sz="12" w:space="0" w:color="auto"/>
              <w:right w:val="single" w:sz="2" w:space="0" w:color="auto"/>
            </w:tcBorders>
            <w:shd w:val="clear" w:color="auto" w:fill="D9D9D9"/>
            <w:vAlign w:val="center"/>
          </w:tcPr>
          <w:p w:rsidR="003E39E8" w:rsidRPr="000C66B4" w:rsidRDefault="003E39E8" w:rsidP="000B266E">
            <w:pPr>
              <w:pStyle w:val="Zkladntext"/>
              <w:rPr>
                <w:b/>
                <w:bCs/>
              </w:rPr>
            </w:pPr>
            <w:r w:rsidRPr="000C66B4">
              <w:rPr>
                <w:b/>
                <w:bCs/>
              </w:rPr>
              <w:t>p. p. č.</w:t>
            </w:r>
          </w:p>
        </w:tc>
        <w:tc>
          <w:tcPr>
            <w:tcW w:w="1559" w:type="dxa"/>
            <w:tcBorders>
              <w:top w:val="single" w:sz="12" w:space="0" w:color="auto"/>
              <w:left w:val="single" w:sz="2" w:space="0" w:color="auto"/>
              <w:bottom w:val="single" w:sz="12" w:space="0" w:color="auto"/>
              <w:right w:val="single" w:sz="2" w:space="0" w:color="auto"/>
            </w:tcBorders>
            <w:shd w:val="clear" w:color="auto" w:fill="D9D9D9"/>
            <w:vAlign w:val="center"/>
          </w:tcPr>
          <w:p w:rsidR="003E39E8" w:rsidRPr="000C66B4" w:rsidRDefault="003E39E8" w:rsidP="000B266E">
            <w:pPr>
              <w:pStyle w:val="Zkladntext"/>
              <w:rPr>
                <w:b/>
                <w:bCs/>
              </w:rPr>
            </w:pPr>
            <w:r w:rsidRPr="000C66B4">
              <w:rPr>
                <w:b/>
                <w:bCs/>
              </w:rPr>
              <w:t>katastrální území</w:t>
            </w:r>
          </w:p>
        </w:tc>
        <w:tc>
          <w:tcPr>
            <w:tcW w:w="1773" w:type="dxa"/>
            <w:tcBorders>
              <w:top w:val="single" w:sz="12" w:space="0" w:color="auto"/>
              <w:left w:val="single" w:sz="2" w:space="0" w:color="auto"/>
              <w:bottom w:val="single" w:sz="12" w:space="0" w:color="auto"/>
              <w:right w:val="single" w:sz="2" w:space="0" w:color="auto"/>
            </w:tcBorders>
            <w:shd w:val="clear" w:color="auto" w:fill="D9D9D9"/>
            <w:vAlign w:val="center"/>
          </w:tcPr>
          <w:p w:rsidR="003E39E8" w:rsidRPr="000C66B4" w:rsidRDefault="003E39E8" w:rsidP="000B266E">
            <w:pPr>
              <w:pStyle w:val="Zkladntext"/>
              <w:rPr>
                <w:b/>
                <w:bCs/>
              </w:rPr>
            </w:pPr>
            <w:r w:rsidRPr="000C66B4">
              <w:rPr>
                <w:b/>
                <w:bCs/>
              </w:rPr>
              <w:t xml:space="preserve"> druh pozemku</w:t>
            </w:r>
          </w:p>
        </w:tc>
        <w:tc>
          <w:tcPr>
            <w:tcW w:w="781" w:type="dxa"/>
            <w:tcBorders>
              <w:top w:val="single" w:sz="12" w:space="0" w:color="auto"/>
              <w:left w:val="single" w:sz="2" w:space="0" w:color="auto"/>
              <w:bottom w:val="single" w:sz="12" w:space="0" w:color="auto"/>
              <w:right w:val="single" w:sz="2" w:space="0" w:color="auto"/>
            </w:tcBorders>
            <w:shd w:val="clear" w:color="auto" w:fill="D9D9D9"/>
            <w:vAlign w:val="center"/>
          </w:tcPr>
          <w:p w:rsidR="003E39E8" w:rsidRPr="000C66B4" w:rsidRDefault="003E39E8" w:rsidP="000B266E">
            <w:pPr>
              <w:pStyle w:val="Zkladntext"/>
              <w:rPr>
                <w:b/>
              </w:rPr>
            </w:pPr>
            <w:r w:rsidRPr="000C66B4">
              <w:rPr>
                <w:b/>
              </w:rPr>
              <w:t>LV</w:t>
            </w:r>
          </w:p>
        </w:tc>
        <w:tc>
          <w:tcPr>
            <w:tcW w:w="840" w:type="dxa"/>
            <w:tcBorders>
              <w:top w:val="single" w:sz="12" w:space="0" w:color="auto"/>
              <w:left w:val="single" w:sz="2" w:space="0" w:color="auto"/>
              <w:bottom w:val="single" w:sz="12" w:space="0" w:color="auto"/>
              <w:right w:val="single" w:sz="2" w:space="0" w:color="auto"/>
            </w:tcBorders>
            <w:shd w:val="clear" w:color="auto" w:fill="D9D9D9"/>
            <w:vAlign w:val="center"/>
          </w:tcPr>
          <w:p w:rsidR="003E39E8" w:rsidRPr="000C66B4" w:rsidRDefault="003E39E8" w:rsidP="000B266E">
            <w:pPr>
              <w:pStyle w:val="Zkladntext"/>
              <w:rPr>
                <w:b/>
                <w:bCs/>
              </w:rPr>
            </w:pPr>
            <w:r w:rsidRPr="000C66B4">
              <w:rPr>
                <w:b/>
                <w:bCs/>
              </w:rPr>
              <w:t>výměra (m</w:t>
            </w:r>
            <w:r w:rsidRPr="000C66B4">
              <w:rPr>
                <w:b/>
                <w:bCs/>
                <w:vertAlign w:val="superscript"/>
              </w:rPr>
              <w:t>2</w:t>
            </w:r>
            <w:r w:rsidRPr="000C66B4">
              <w:rPr>
                <w:b/>
                <w:bCs/>
              </w:rPr>
              <w:t>)</w:t>
            </w:r>
          </w:p>
        </w:tc>
        <w:tc>
          <w:tcPr>
            <w:tcW w:w="1223" w:type="dxa"/>
            <w:tcBorders>
              <w:top w:val="single" w:sz="12" w:space="0" w:color="auto"/>
              <w:left w:val="single" w:sz="2" w:space="0" w:color="auto"/>
              <w:bottom w:val="single" w:sz="12" w:space="0" w:color="auto"/>
              <w:right w:val="single" w:sz="2" w:space="0" w:color="auto"/>
            </w:tcBorders>
            <w:shd w:val="clear" w:color="auto" w:fill="D9D9D9"/>
            <w:vAlign w:val="center"/>
          </w:tcPr>
          <w:p w:rsidR="003E39E8" w:rsidRPr="000C66B4" w:rsidRDefault="003E39E8" w:rsidP="000B266E">
            <w:pPr>
              <w:pStyle w:val="Zkladntext"/>
              <w:rPr>
                <w:b/>
              </w:rPr>
            </w:pPr>
            <w:r w:rsidRPr="000C66B4">
              <w:rPr>
                <w:b/>
              </w:rPr>
              <w:t>účetní cena (Kč)</w:t>
            </w:r>
          </w:p>
        </w:tc>
        <w:tc>
          <w:tcPr>
            <w:tcW w:w="747" w:type="dxa"/>
            <w:tcBorders>
              <w:top w:val="single" w:sz="12" w:space="0" w:color="auto"/>
              <w:left w:val="single" w:sz="2" w:space="0" w:color="auto"/>
              <w:bottom w:val="single" w:sz="12" w:space="0" w:color="auto"/>
              <w:right w:val="single" w:sz="12" w:space="0" w:color="auto"/>
            </w:tcBorders>
            <w:shd w:val="clear" w:color="auto" w:fill="D9D9D9"/>
            <w:vAlign w:val="center"/>
          </w:tcPr>
          <w:p w:rsidR="003E39E8" w:rsidRPr="000C66B4" w:rsidRDefault="003E39E8" w:rsidP="000B266E">
            <w:pPr>
              <w:pStyle w:val="Zkladntext"/>
              <w:rPr>
                <w:b/>
              </w:rPr>
            </w:pPr>
            <w:proofErr w:type="spellStart"/>
            <w:r w:rsidRPr="000C66B4">
              <w:rPr>
                <w:b/>
                <w:bCs/>
              </w:rPr>
              <w:t>maj</w:t>
            </w:r>
            <w:proofErr w:type="spellEnd"/>
            <w:r w:rsidRPr="000C66B4">
              <w:rPr>
                <w:b/>
                <w:bCs/>
              </w:rPr>
              <w:t>. U/N</w:t>
            </w:r>
            <w:r w:rsidRPr="000C66B4">
              <w:rPr>
                <w:vertAlign w:val="superscript"/>
              </w:rPr>
              <w:t>*)</w:t>
            </w:r>
          </w:p>
        </w:tc>
      </w:tr>
      <w:tr w:rsidR="003E39E8" w:rsidRPr="000C66B4" w:rsidTr="000B266E">
        <w:trPr>
          <w:trHeight w:val="247"/>
          <w:jc w:val="center"/>
        </w:trPr>
        <w:tc>
          <w:tcPr>
            <w:tcW w:w="1035" w:type="dxa"/>
            <w:tcBorders>
              <w:top w:val="single" w:sz="12" w:space="0" w:color="auto"/>
              <w:left w:val="single" w:sz="1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402250</w:t>
            </w:r>
          </w:p>
        </w:tc>
        <w:tc>
          <w:tcPr>
            <w:tcW w:w="945" w:type="dxa"/>
            <w:tcBorders>
              <w:top w:val="single" w:sz="1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1949/14</w:t>
            </w:r>
          </w:p>
        </w:tc>
        <w:tc>
          <w:tcPr>
            <w:tcW w:w="1559" w:type="dxa"/>
            <w:tcBorders>
              <w:top w:val="single" w:sz="1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Chomutov II</w:t>
            </w:r>
          </w:p>
        </w:tc>
        <w:tc>
          <w:tcPr>
            <w:tcW w:w="1773" w:type="dxa"/>
            <w:tcBorders>
              <w:top w:val="single" w:sz="1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ostatní plocha</w:t>
            </w:r>
          </w:p>
        </w:tc>
        <w:tc>
          <w:tcPr>
            <w:tcW w:w="781" w:type="dxa"/>
            <w:tcBorders>
              <w:top w:val="single" w:sz="1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1401</w:t>
            </w:r>
          </w:p>
        </w:tc>
        <w:tc>
          <w:tcPr>
            <w:tcW w:w="840" w:type="dxa"/>
            <w:tcBorders>
              <w:top w:val="single" w:sz="1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300</w:t>
            </w:r>
          </w:p>
        </w:tc>
        <w:tc>
          <w:tcPr>
            <w:tcW w:w="1223" w:type="dxa"/>
            <w:tcBorders>
              <w:top w:val="single" w:sz="1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936</w:t>
            </w:r>
          </w:p>
        </w:tc>
        <w:tc>
          <w:tcPr>
            <w:tcW w:w="747" w:type="dxa"/>
            <w:tcBorders>
              <w:top w:val="single" w:sz="12" w:space="0" w:color="auto"/>
              <w:left w:val="single" w:sz="2" w:space="0" w:color="auto"/>
              <w:bottom w:val="single" w:sz="2" w:space="0" w:color="auto"/>
              <w:right w:val="single" w:sz="12" w:space="0" w:color="auto"/>
            </w:tcBorders>
            <w:shd w:val="clear" w:color="auto" w:fill="auto"/>
          </w:tcPr>
          <w:p w:rsidR="003E39E8" w:rsidRPr="000C66B4" w:rsidRDefault="003E39E8" w:rsidP="000B266E">
            <w:pPr>
              <w:pStyle w:val="Zkladntext"/>
            </w:pPr>
            <w:r w:rsidRPr="000C66B4">
              <w:t>N</w:t>
            </w:r>
          </w:p>
        </w:tc>
      </w:tr>
      <w:tr w:rsidR="003E39E8" w:rsidRPr="000C66B4" w:rsidTr="000B266E">
        <w:trPr>
          <w:trHeight w:val="247"/>
          <w:jc w:val="center"/>
        </w:trPr>
        <w:tc>
          <w:tcPr>
            <w:tcW w:w="1035" w:type="dxa"/>
            <w:tcBorders>
              <w:top w:val="single" w:sz="2" w:space="0" w:color="auto"/>
              <w:left w:val="single" w:sz="1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402254</w:t>
            </w:r>
          </w:p>
        </w:tc>
        <w:tc>
          <w:tcPr>
            <w:tcW w:w="945"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2532/2</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Chomutov II</w:t>
            </w:r>
          </w:p>
        </w:tc>
        <w:tc>
          <w:tcPr>
            <w:tcW w:w="1773"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ostatní plocha</w:t>
            </w:r>
          </w:p>
        </w:tc>
        <w:tc>
          <w:tcPr>
            <w:tcW w:w="781"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1401</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171</w:t>
            </w:r>
          </w:p>
        </w:tc>
        <w:tc>
          <w:tcPr>
            <w:tcW w:w="1223"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519</w:t>
            </w:r>
          </w:p>
        </w:tc>
        <w:tc>
          <w:tcPr>
            <w:tcW w:w="747" w:type="dxa"/>
            <w:tcBorders>
              <w:top w:val="single" w:sz="2" w:space="0" w:color="auto"/>
              <w:left w:val="single" w:sz="2" w:space="0" w:color="auto"/>
              <w:bottom w:val="single" w:sz="2" w:space="0" w:color="auto"/>
              <w:right w:val="single" w:sz="12" w:space="0" w:color="auto"/>
            </w:tcBorders>
            <w:shd w:val="clear" w:color="auto" w:fill="auto"/>
          </w:tcPr>
          <w:p w:rsidR="003E39E8" w:rsidRPr="000C66B4" w:rsidRDefault="003E39E8" w:rsidP="000B266E">
            <w:pPr>
              <w:pStyle w:val="Zkladntext"/>
            </w:pPr>
            <w:r w:rsidRPr="000C66B4">
              <w:t>N</w:t>
            </w:r>
          </w:p>
        </w:tc>
      </w:tr>
      <w:tr w:rsidR="003E39E8" w:rsidRPr="000C66B4" w:rsidTr="000B266E">
        <w:trPr>
          <w:trHeight w:val="247"/>
          <w:jc w:val="center"/>
        </w:trPr>
        <w:tc>
          <w:tcPr>
            <w:tcW w:w="1035" w:type="dxa"/>
            <w:tcBorders>
              <w:top w:val="single" w:sz="2" w:space="0" w:color="auto"/>
              <w:left w:val="single" w:sz="1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402249</w:t>
            </w:r>
          </w:p>
        </w:tc>
        <w:tc>
          <w:tcPr>
            <w:tcW w:w="945"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431/7</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Chomutov II</w:t>
            </w:r>
          </w:p>
        </w:tc>
        <w:tc>
          <w:tcPr>
            <w:tcW w:w="1773"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ostatní plocha</w:t>
            </w:r>
          </w:p>
        </w:tc>
        <w:tc>
          <w:tcPr>
            <w:tcW w:w="781"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1401</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1 678</w:t>
            </w:r>
          </w:p>
        </w:tc>
        <w:tc>
          <w:tcPr>
            <w:tcW w:w="1223"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4 920</w:t>
            </w:r>
          </w:p>
        </w:tc>
        <w:tc>
          <w:tcPr>
            <w:tcW w:w="747" w:type="dxa"/>
            <w:tcBorders>
              <w:top w:val="single" w:sz="2" w:space="0" w:color="auto"/>
              <w:left w:val="single" w:sz="2" w:space="0" w:color="auto"/>
              <w:bottom w:val="single" w:sz="2" w:space="0" w:color="auto"/>
              <w:right w:val="single" w:sz="12" w:space="0" w:color="auto"/>
            </w:tcBorders>
            <w:shd w:val="clear" w:color="auto" w:fill="auto"/>
          </w:tcPr>
          <w:p w:rsidR="003E39E8" w:rsidRPr="000C66B4" w:rsidRDefault="003E39E8" w:rsidP="000B266E">
            <w:pPr>
              <w:pStyle w:val="Zkladntext"/>
            </w:pPr>
            <w:r w:rsidRPr="000C66B4">
              <w:t>N</w:t>
            </w:r>
          </w:p>
        </w:tc>
      </w:tr>
      <w:tr w:rsidR="003E39E8" w:rsidRPr="000C66B4" w:rsidTr="000B266E">
        <w:trPr>
          <w:trHeight w:val="247"/>
          <w:jc w:val="center"/>
        </w:trPr>
        <w:tc>
          <w:tcPr>
            <w:tcW w:w="1035" w:type="dxa"/>
            <w:tcBorders>
              <w:top w:val="single" w:sz="2" w:space="0" w:color="auto"/>
              <w:left w:val="single" w:sz="1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402041</w:t>
            </w:r>
          </w:p>
        </w:tc>
        <w:tc>
          <w:tcPr>
            <w:tcW w:w="945"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1806/1</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Chomutov I</w:t>
            </w:r>
          </w:p>
        </w:tc>
        <w:tc>
          <w:tcPr>
            <w:tcW w:w="1773"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ostatní plocha</w:t>
            </w:r>
          </w:p>
        </w:tc>
        <w:tc>
          <w:tcPr>
            <w:tcW w:w="781"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19</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1 545</w:t>
            </w:r>
          </w:p>
        </w:tc>
        <w:tc>
          <w:tcPr>
            <w:tcW w:w="1223"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4 635</w:t>
            </w:r>
          </w:p>
        </w:tc>
        <w:tc>
          <w:tcPr>
            <w:tcW w:w="747" w:type="dxa"/>
            <w:tcBorders>
              <w:top w:val="single" w:sz="2" w:space="0" w:color="auto"/>
              <w:left w:val="single" w:sz="2" w:space="0" w:color="auto"/>
              <w:bottom w:val="single" w:sz="2" w:space="0" w:color="auto"/>
              <w:right w:val="single" w:sz="12" w:space="0" w:color="auto"/>
            </w:tcBorders>
            <w:shd w:val="clear" w:color="auto" w:fill="auto"/>
          </w:tcPr>
          <w:p w:rsidR="003E39E8" w:rsidRPr="000C66B4" w:rsidRDefault="003E39E8" w:rsidP="000B266E">
            <w:pPr>
              <w:pStyle w:val="Zkladntext"/>
            </w:pPr>
            <w:r w:rsidRPr="000C66B4">
              <w:t>N</w:t>
            </w:r>
          </w:p>
        </w:tc>
      </w:tr>
      <w:tr w:rsidR="003E39E8" w:rsidRPr="000C66B4" w:rsidTr="000B266E">
        <w:trPr>
          <w:trHeight w:val="247"/>
          <w:jc w:val="center"/>
        </w:trPr>
        <w:tc>
          <w:tcPr>
            <w:tcW w:w="1035" w:type="dxa"/>
            <w:tcBorders>
              <w:top w:val="single" w:sz="2" w:space="0" w:color="auto"/>
              <w:left w:val="single" w:sz="1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402146</w:t>
            </w:r>
          </w:p>
        </w:tc>
        <w:tc>
          <w:tcPr>
            <w:tcW w:w="945"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4514</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Chomutov I</w:t>
            </w:r>
          </w:p>
        </w:tc>
        <w:tc>
          <w:tcPr>
            <w:tcW w:w="1773"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ostatní plocha</w:t>
            </w:r>
          </w:p>
        </w:tc>
        <w:tc>
          <w:tcPr>
            <w:tcW w:w="781"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19</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316</w:t>
            </w:r>
          </w:p>
        </w:tc>
        <w:tc>
          <w:tcPr>
            <w:tcW w:w="1223"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948</w:t>
            </w:r>
          </w:p>
        </w:tc>
        <w:tc>
          <w:tcPr>
            <w:tcW w:w="747" w:type="dxa"/>
            <w:tcBorders>
              <w:top w:val="single" w:sz="2" w:space="0" w:color="auto"/>
              <w:left w:val="single" w:sz="2" w:space="0" w:color="auto"/>
              <w:bottom w:val="single" w:sz="2" w:space="0" w:color="auto"/>
              <w:right w:val="single" w:sz="12" w:space="0" w:color="auto"/>
            </w:tcBorders>
            <w:shd w:val="clear" w:color="auto" w:fill="auto"/>
          </w:tcPr>
          <w:p w:rsidR="003E39E8" w:rsidRPr="000C66B4" w:rsidRDefault="003E39E8" w:rsidP="000B266E">
            <w:pPr>
              <w:pStyle w:val="Zkladntext"/>
            </w:pPr>
            <w:r w:rsidRPr="000C66B4">
              <w:t>N</w:t>
            </w:r>
          </w:p>
        </w:tc>
      </w:tr>
      <w:tr w:rsidR="003E39E8" w:rsidRPr="000C66B4" w:rsidTr="000B266E">
        <w:trPr>
          <w:trHeight w:val="247"/>
          <w:jc w:val="center"/>
        </w:trPr>
        <w:tc>
          <w:tcPr>
            <w:tcW w:w="1035" w:type="dxa"/>
            <w:tcBorders>
              <w:top w:val="single" w:sz="2" w:space="0" w:color="auto"/>
              <w:left w:val="single" w:sz="1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402147</w:t>
            </w:r>
          </w:p>
        </w:tc>
        <w:tc>
          <w:tcPr>
            <w:tcW w:w="945"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4516/10</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Chomutov I</w:t>
            </w:r>
          </w:p>
        </w:tc>
        <w:tc>
          <w:tcPr>
            <w:tcW w:w="1773"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ostatní plocha</w:t>
            </w:r>
          </w:p>
        </w:tc>
        <w:tc>
          <w:tcPr>
            <w:tcW w:w="781"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19</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170</w:t>
            </w:r>
          </w:p>
        </w:tc>
        <w:tc>
          <w:tcPr>
            <w:tcW w:w="1223" w:type="dxa"/>
            <w:tcBorders>
              <w:top w:val="single" w:sz="2" w:space="0" w:color="auto"/>
              <w:left w:val="single" w:sz="2" w:space="0" w:color="auto"/>
              <w:bottom w:val="single" w:sz="2" w:space="0" w:color="auto"/>
              <w:right w:val="single" w:sz="2" w:space="0" w:color="auto"/>
            </w:tcBorders>
            <w:shd w:val="clear" w:color="auto" w:fill="auto"/>
          </w:tcPr>
          <w:p w:rsidR="003E39E8" w:rsidRPr="000C66B4" w:rsidRDefault="003E39E8" w:rsidP="000B266E">
            <w:pPr>
              <w:pStyle w:val="Zkladntext"/>
            </w:pPr>
            <w:r w:rsidRPr="000C66B4">
              <w:t>510</w:t>
            </w:r>
          </w:p>
        </w:tc>
        <w:tc>
          <w:tcPr>
            <w:tcW w:w="747" w:type="dxa"/>
            <w:tcBorders>
              <w:top w:val="single" w:sz="2" w:space="0" w:color="auto"/>
              <w:left w:val="single" w:sz="2" w:space="0" w:color="auto"/>
              <w:bottom w:val="single" w:sz="2" w:space="0" w:color="auto"/>
              <w:right w:val="single" w:sz="12" w:space="0" w:color="auto"/>
            </w:tcBorders>
            <w:shd w:val="clear" w:color="auto" w:fill="auto"/>
          </w:tcPr>
          <w:p w:rsidR="003E39E8" w:rsidRPr="000C66B4" w:rsidRDefault="003E39E8" w:rsidP="000B266E">
            <w:pPr>
              <w:pStyle w:val="Zkladntext"/>
            </w:pPr>
            <w:r w:rsidRPr="000C66B4">
              <w:t>N</w:t>
            </w:r>
          </w:p>
        </w:tc>
      </w:tr>
      <w:tr w:rsidR="003E39E8" w:rsidRPr="000C66B4" w:rsidTr="000B266E">
        <w:trPr>
          <w:trHeight w:val="247"/>
          <w:jc w:val="center"/>
        </w:trPr>
        <w:tc>
          <w:tcPr>
            <w:tcW w:w="5312" w:type="dxa"/>
            <w:gridSpan w:val="4"/>
            <w:tcBorders>
              <w:top w:val="single" w:sz="12" w:space="0" w:color="auto"/>
              <w:left w:val="single" w:sz="12" w:space="0" w:color="auto"/>
              <w:bottom w:val="single" w:sz="12" w:space="0" w:color="auto"/>
              <w:right w:val="single" w:sz="2" w:space="0" w:color="auto"/>
            </w:tcBorders>
            <w:shd w:val="clear" w:color="auto" w:fill="auto"/>
          </w:tcPr>
          <w:p w:rsidR="003E39E8" w:rsidRPr="000C66B4" w:rsidRDefault="003E39E8" w:rsidP="000B266E">
            <w:pPr>
              <w:pStyle w:val="Zkladntext"/>
              <w:rPr>
                <w:b/>
              </w:rPr>
            </w:pPr>
            <w:r w:rsidRPr="000C66B4">
              <w:rPr>
                <w:b/>
              </w:rPr>
              <w:t>Celkem</w:t>
            </w:r>
          </w:p>
        </w:tc>
        <w:tc>
          <w:tcPr>
            <w:tcW w:w="781" w:type="dxa"/>
            <w:tcBorders>
              <w:top w:val="single" w:sz="12" w:space="0" w:color="auto"/>
              <w:left w:val="single" w:sz="2" w:space="0" w:color="auto"/>
              <w:bottom w:val="single" w:sz="12" w:space="0" w:color="auto"/>
              <w:right w:val="single" w:sz="2" w:space="0" w:color="auto"/>
            </w:tcBorders>
            <w:shd w:val="clear" w:color="auto" w:fill="auto"/>
          </w:tcPr>
          <w:p w:rsidR="003E39E8" w:rsidRPr="000C66B4" w:rsidRDefault="003E39E8" w:rsidP="000B266E">
            <w:pPr>
              <w:pStyle w:val="Zkladntext"/>
              <w:rPr>
                <w:b/>
              </w:rPr>
            </w:pPr>
          </w:p>
        </w:tc>
        <w:tc>
          <w:tcPr>
            <w:tcW w:w="840" w:type="dxa"/>
            <w:tcBorders>
              <w:top w:val="single" w:sz="12" w:space="0" w:color="auto"/>
              <w:left w:val="single" w:sz="2" w:space="0" w:color="auto"/>
              <w:bottom w:val="single" w:sz="12" w:space="0" w:color="auto"/>
              <w:right w:val="single" w:sz="2" w:space="0" w:color="auto"/>
            </w:tcBorders>
            <w:shd w:val="clear" w:color="auto" w:fill="auto"/>
            <w:vAlign w:val="center"/>
          </w:tcPr>
          <w:p w:rsidR="003E39E8" w:rsidRPr="000C66B4" w:rsidRDefault="003E39E8" w:rsidP="000B266E">
            <w:pPr>
              <w:pStyle w:val="Zkladntext"/>
              <w:rPr>
                <w:b/>
                <w:bCs/>
              </w:rPr>
            </w:pPr>
            <w:r w:rsidRPr="000C66B4">
              <w:rPr>
                <w:b/>
                <w:bCs/>
              </w:rPr>
              <w:t>4 180</w:t>
            </w:r>
          </w:p>
        </w:tc>
        <w:tc>
          <w:tcPr>
            <w:tcW w:w="1223" w:type="dxa"/>
            <w:tcBorders>
              <w:top w:val="single" w:sz="12" w:space="0" w:color="auto"/>
              <w:left w:val="single" w:sz="2" w:space="0" w:color="auto"/>
              <w:bottom w:val="single" w:sz="12" w:space="0" w:color="auto"/>
              <w:right w:val="single" w:sz="2" w:space="0" w:color="auto"/>
            </w:tcBorders>
            <w:shd w:val="clear" w:color="auto" w:fill="auto"/>
            <w:vAlign w:val="center"/>
          </w:tcPr>
          <w:p w:rsidR="003E39E8" w:rsidRPr="000C66B4" w:rsidRDefault="003E39E8" w:rsidP="000B266E">
            <w:pPr>
              <w:pStyle w:val="Zkladntext"/>
              <w:rPr>
                <w:b/>
                <w:bCs/>
              </w:rPr>
            </w:pPr>
            <w:r w:rsidRPr="000C66B4">
              <w:rPr>
                <w:b/>
                <w:bCs/>
              </w:rPr>
              <w:t>12 468</w:t>
            </w:r>
          </w:p>
        </w:tc>
        <w:tc>
          <w:tcPr>
            <w:tcW w:w="747" w:type="dxa"/>
            <w:tcBorders>
              <w:top w:val="single" w:sz="12" w:space="0" w:color="auto"/>
              <w:left w:val="single" w:sz="2" w:space="0" w:color="auto"/>
              <w:bottom w:val="single" w:sz="12" w:space="0" w:color="auto"/>
              <w:right w:val="single" w:sz="12" w:space="0" w:color="auto"/>
            </w:tcBorders>
            <w:shd w:val="clear" w:color="auto" w:fill="auto"/>
          </w:tcPr>
          <w:p w:rsidR="003E39E8" w:rsidRPr="000C66B4" w:rsidRDefault="003E39E8" w:rsidP="000B266E">
            <w:pPr>
              <w:pStyle w:val="Zkladntext"/>
              <w:rPr>
                <w:b/>
                <w:i/>
              </w:rPr>
            </w:pPr>
          </w:p>
        </w:tc>
      </w:tr>
    </w:tbl>
    <w:p w:rsidR="003E39E8" w:rsidRPr="000C66B4" w:rsidRDefault="003E39E8" w:rsidP="003E39E8">
      <w:pPr>
        <w:pStyle w:val="Zkladntext"/>
      </w:pPr>
    </w:p>
    <w:p w:rsidR="003E39E8" w:rsidRPr="000C66B4" w:rsidRDefault="003E39E8" w:rsidP="003E39E8">
      <w:pPr>
        <w:pStyle w:val="Zkladntext"/>
        <w:rPr>
          <w:i/>
        </w:rPr>
      </w:pPr>
      <w:r>
        <w:rPr>
          <w:i/>
          <w:lang w:val="en-US"/>
        </w:rPr>
        <w:t xml:space="preserve">* </w:t>
      </w:r>
      <w:proofErr w:type="gramStart"/>
      <w:r w:rsidRPr="000C66B4">
        <w:rPr>
          <w:i/>
        </w:rPr>
        <w:t>majetek</w:t>
      </w:r>
      <w:proofErr w:type="gramEnd"/>
      <w:r w:rsidRPr="000C66B4">
        <w:rPr>
          <w:i/>
        </w:rPr>
        <w:t xml:space="preserve"> U/N: U = určený majetek státu, N = neurčený majetek státu</w:t>
      </w:r>
    </w:p>
    <w:p w:rsidR="003E39E8" w:rsidRPr="00970E18" w:rsidRDefault="003E39E8" w:rsidP="003E39E8">
      <w:pPr>
        <w:pStyle w:val="Zkladntext"/>
        <w:rPr>
          <w:rFonts w:cs="Arial"/>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Pr="00A97659" w:rsidRDefault="003E39E8" w:rsidP="003E39E8">
      <w:pPr>
        <w:spacing w:after="600"/>
        <w:jc w:val="center"/>
        <w:rPr>
          <w:rFonts w:ascii="Arial" w:hAnsi="Arial" w:cs="Arial"/>
          <w:b/>
        </w:rPr>
      </w:pPr>
      <w:r w:rsidRPr="00A97659">
        <w:rPr>
          <w:rFonts w:ascii="Arial" w:hAnsi="Arial" w:cs="Arial"/>
          <w:b/>
        </w:rPr>
        <w:t>PŘEDKLÁDACÍ ZPRÁVA</w:t>
      </w:r>
    </w:p>
    <w:p w:rsidR="003E39E8" w:rsidRPr="006D6F7A" w:rsidRDefault="003E39E8" w:rsidP="003E39E8">
      <w:pPr>
        <w:spacing w:after="240"/>
        <w:jc w:val="both"/>
        <w:rPr>
          <w:rFonts w:ascii="Arial" w:hAnsi="Arial" w:cs="Arial"/>
          <w:bCs/>
        </w:rPr>
      </w:pPr>
      <w:r w:rsidRPr="006D6F7A">
        <w:rPr>
          <w:rFonts w:ascii="Arial" w:hAnsi="Arial" w:cs="Arial"/>
          <w:bCs/>
        </w:rPr>
        <w:t xml:space="preserve">Ministerstvo průmyslu a obchodu předkládá v souladu s ustanovením § 16 odst. 9 platného znění zákona č. 77/1997 Sb., o státním podniku, vládě České republiky materiál, který obsahuje návrh na bezúplatný převod majetku státu, s nímž má právo hospodařit </w:t>
      </w:r>
      <w:r w:rsidRPr="006D6F7A">
        <w:rPr>
          <w:rFonts w:ascii="Arial" w:hAnsi="Arial" w:cs="Arial"/>
          <w:b/>
          <w:bCs/>
        </w:rPr>
        <w:t xml:space="preserve">Palivový kombinát Ústí, státní podnik, </w:t>
      </w:r>
      <w:r w:rsidRPr="006D6F7A">
        <w:rPr>
          <w:rFonts w:ascii="Arial" w:hAnsi="Arial" w:cs="Arial"/>
          <w:bCs/>
        </w:rPr>
        <w:t xml:space="preserve">Hrbovická 2, </w:t>
      </w:r>
      <w:proofErr w:type="spellStart"/>
      <w:r w:rsidRPr="006D6F7A">
        <w:rPr>
          <w:rFonts w:ascii="Arial" w:hAnsi="Arial" w:cs="Arial"/>
          <w:bCs/>
        </w:rPr>
        <w:t>Hrbovice</w:t>
      </w:r>
      <w:proofErr w:type="spellEnd"/>
      <w:r w:rsidRPr="006D6F7A">
        <w:rPr>
          <w:rFonts w:ascii="Arial" w:hAnsi="Arial" w:cs="Arial"/>
          <w:bCs/>
        </w:rPr>
        <w:t xml:space="preserve">, PSČ </w:t>
      </w:r>
      <w:proofErr w:type="gramStart"/>
      <w:r w:rsidRPr="006D6F7A">
        <w:rPr>
          <w:rFonts w:ascii="Arial" w:hAnsi="Arial" w:cs="Arial"/>
          <w:bCs/>
        </w:rPr>
        <w:t>403 39  Chlumec</w:t>
      </w:r>
      <w:proofErr w:type="gramEnd"/>
      <w:r w:rsidRPr="006D6F7A">
        <w:rPr>
          <w:rFonts w:ascii="Arial" w:hAnsi="Arial" w:cs="Arial"/>
          <w:bCs/>
        </w:rPr>
        <w:t>, IČ: 000 07 536, do vlastnictví územně samosprávného celku:</w:t>
      </w:r>
    </w:p>
    <w:p w:rsidR="003E39E8" w:rsidRPr="006D6F7A" w:rsidRDefault="003E39E8" w:rsidP="003E39E8">
      <w:pPr>
        <w:spacing w:after="240"/>
        <w:jc w:val="both"/>
        <w:rPr>
          <w:rFonts w:ascii="Arial" w:hAnsi="Arial" w:cs="Arial"/>
          <w:bCs/>
        </w:rPr>
      </w:pPr>
    </w:p>
    <w:p w:rsidR="003E39E8" w:rsidRPr="006D6F7A" w:rsidRDefault="003E39E8" w:rsidP="003E39E8">
      <w:pPr>
        <w:spacing w:after="240"/>
        <w:jc w:val="both"/>
        <w:rPr>
          <w:rFonts w:ascii="Arial" w:hAnsi="Arial" w:cs="Arial"/>
          <w:b/>
          <w:bCs/>
          <w:u w:val="single"/>
        </w:rPr>
      </w:pPr>
      <w:r w:rsidRPr="006D6F7A">
        <w:rPr>
          <w:rFonts w:ascii="Arial" w:hAnsi="Arial" w:cs="Arial"/>
          <w:b/>
          <w:bCs/>
          <w:u w:val="single"/>
        </w:rPr>
        <w:t xml:space="preserve">Statutární město Chomutov, Zborovská 4602, PSČ </w:t>
      </w:r>
      <w:proofErr w:type="gramStart"/>
      <w:r w:rsidRPr="006D6F7A">
        <w:rPr>
          <w:rFonts w:ascii="Arial" w:hAnsi="Arial" w:cs="Arial"/>
          <w:b/>
          <w:bCs/>
          <w:u w:val="single"/>
        </w:rPr>
        <w:t>430 01  Chomutov</w:t>
      </w:r>
      <w:proofErr w:type="gramEnd"/>
      <w:r w:rsidRPr="006D6F7A">
        <w:rPr>
          <w:rFonts w:ascii="Arial" w:hAnsi="Arial" w:cs="Arial"/>
          <w:b/>
          <w:bCs/>
          <w:u w:val="single"/>
        </w:rPr>
        <w:t>, IČ: 002 61 891</w:t>
      </w:r>
    </w:p>
    <w:p w:rsidR="003E39E8" w:rsidRPr="006D6F7A" w:rsidRDefault="003E39E8" w:rsidP="003E39E8">
      <w:pPr>
        <w:spacing w:after="240"/>
        <w:jc w:val="both"/>
        <w:rPr>
          <w:rFonts w:ascii="Arial" w:hAnsi="Arial" w:cs="Arial"/>
          <w:b/>
          <w:bCs/>
          <w:u w:val="single"/>
        </w:rPr>
      </w:pPr>
    </w:p>
    <w:p w:rsidR="003E39E8" w:rsidRPr="006D6F7A" w:rsidRDefault="003E39E8" w:rsidP="003E39E8">
      <w:pPr>
        <w:spacing w:after="240"/>
        <w:jc w:val="both"/>
        <w:rPr>
          <w:rFonts w:ascii="Arial" w:hAnsi="Arial" w:cs="Arial"/>
          <w:b/>
          <w:bCs/>
          <w:u w:val="single"/>
        </w:rPr>
      </w:pPr>
      <w:r w:rsidRPr="006D6F7A">
        <w:rPr>
          <w:rFonts w:ascii="Arial" w:hAnsi="Arial" w:cs="Arial"/>
          <w:bCs/>
        </w:rPr>
        <w:t>Statutární město Chomutov požádalo o bezúplatné nabytí nemovitého nepotřebného majetku státu v katastrálním území Chomutov I a Chomutov II, obci Chomutov, Ústecký kraj. Celková výměra předmětných pozemků činí 4 180 m</w:t>
      </w:r>
      <w:r w:rsidRPr="006D6F7A">
        <w:rPr>
          <w:rFonts w:ascii="Arial" w:hAnsi="Arial" w:cs="Arial"/>
          <w:bCs/>
          <w:vertAlign w:val="superscript"/>
        </w:rPr>
        <w:t>2</w:t>
      </w:r>
      <w:r w:rsidRPr="006D6F7A">
        <w:rPr>
          <w:rFonts w:ascii="Arial" w:hAnsi="Arial" w:cs="Arial"/>
          <w:bCs/>
        </w:rPr>
        <w:t xml:space="preserve"> a celková účetní hodnota činí 12 468 Kč.</w:t>
      </w:r>
    </w:p>
    <w:p w:rsidR="003E39E8" w:rsidRPr="006D6F7A" w:rsidRDefault="003E39E8" w:rsidP="003E39E8">
      <w:pPr>
        <w:spacing w:after="240"/>
        <w:jc w:val="both"/>
        <w:rPr>
          <w:rFonts w:ascii="Arial" w:hAnsi="Arial" w:cs="Arial"/>
          <w:bCs/>
        </w:rPr>
      </w:pPr>
      <w:r w:rsidRPr="006D6F7A">
        <w:rPr>
          <w:rFonts w:ascii="Arial" w:hAnsi="Arial" w:cs="Arial"/>
          <w:bCs/>
        </w:rPr>
        <w:t xml:space="preserve">Převedený majetek bude využit ve </w:t>
      </w:r>
      <w:r w:rsidRPr="006D6F7A">
        <w:rPr>
          <w:rFonts w:ascii="Arial" w:hAnsi="Arial" w:cs="Arial"/>
          <w:b/>
          <w:bCs/>
        </w:rPr>
        <w:t>veřejném zájmu</w:t>
      </w:r>
      <w:r w:rsidRPr="006D6F7A">
        <w:rPr>
          <w:rFonts w:ascii="Arial" w:hAnsi="Arial" w:cs="Arial"/>
          <w:bCs/>
        </w:rPr>
        <w:t xml:space="preserve"> a v souladu se s</w:t>
      </w:r>
      <w:r>
        <w:rPr>
          <w:rFonts w:ascii="Arial" w:hAnsi="Arial" w:cs="Arial"/>
          <w:bCs/>
        </w:rPr>
        <w:t>chváleným územním plánem sídelní</w:t>
      </w:r>
      <w:r w:rsidRPr="006D6F7A">
        <w:rPr>
          <w:rFonts w:ascii="Arial" w:hAnsi="Arial" w:cs="Arial"/>
          <w:bCs/>
        </w:rPr>
        <w:t>ho útvaru Chomutov – Jirkov.</w:t>
      </w:r>
    </w:p>
    <w:p w:rsidR="003E39E8" w:rsidRPr="006D6F7A" w:rsidRDefault="003E39E8" w:rsidP="003E39E8">
      <w:pPr>
        <w:spacing w:after="240"/>
        <w:jc w:val="both"/>
        <w:rPr>
          <w:rFonts w:ascii="Arial" w:hAnsi="Arial" w:cs="Arial"/>
          <w:bCs/>
        </w:rPr>
      </w:pPr>
      <w:r w:rsidRPr="006D6F7A">
        <w:rPr>
          <w:rFonts w:ascii="Arial" w:hAnsi="Arial" w:cs="Arial"/>
          <w:bCs/>
        </w:rPr>
        <w:t>Převáděné pozemky jsou situovány v zastavěné části města Chomutova pod veřejnými komunikacemi a parkovištěm ve vlastnictví města a dále se jedná o pozemky, které zastávají funkci veřejné zeleně.</w:t>
      </w:r>
    </w:p>
    <w:p w:rsidR="003E39E8" w:rsidRPr="006D6F7A" w:rsidRDefault="003E39E8" w:rsidP="003E39E8">
      <w:pPr>
        <w:spacing w:after="240"/>
        <w:jc w:val="both"/>
        <w:rPr>
          <w:rFonts w:ascii="Arial" w:hAnsi="Arial" w:cs="Arial"/>
          <w:bCs/>
        </w:rPr>
      </w:pPr>
    </w:p>
    <w:p w:rsidR="003E39E8" w:rsidRPr="006D6F7A" w:rsidRDefault="003E39E8" w:rsidP="003E39E8">
      <w:pPr>
        <w:spacing w:after="240"/>
        <w:jc w:val="both"/>
        <w:rPr>
          <w:rFonts w:ascii="Arial" w:hAnsi="Arial" w:cs="Arial"/>
          <w:b/>
          <w:bCs/>
          <w:u w:val="single"/>
        </w:rPr>
      </w:pPr>
      <w:r w:rsidRPr="006D6F7A">
        <w:rPr>
          <w:rFonts w:ascii="Arial" w:hAnsi="Arial" w:cs="Arial"/>
          <w:b/>
          <w:bCs/>
          <w:u w:val="single"/>
        </w:rPr>
        <w:t>Popis pozemků z hlediska jejich využití:</w:t>
      </w:r>
    </w:p>
    <w:p w:rsidR="003E39E8" w:rsidRPr="006D6F7A" w:rsidRDefault="003E39E8" w:rsidP="003E39E8">
      <w:pPr>
        <w:spacing w:after="240"/>
        <w:jc w:val="both"/>
        <w:rPr>
          <w:rFonts w:ascii="Arial" w:hAnsi="Arial" w:cs="Arial"/>
          <w:bCs/>
        </w:rPr>
      </w:pPr>
    </w:p>
    <w:p w:rsidR="003E39E8" w:rsidRPr="006D6F7A" w:rsidRDefault="003E39E8" w:rsidP="003E39E8">
      <w:pPr>
        <w:spacing w:after="240"/>
        <w:jc w:val="both"/>
        <w:rPr>
          <w:rFonts w:ascii="Arial" w:hAnsi="Arial" w:cs="Arial"/>
          <w:bCs/>
        </w:rPr>
      </w:pPr>
      <w:r w:rsidRPr="006D6F7A">
        <w:rPr>
          <w:rFonts w:ascii="Arial" w:hAnsi="Arial" w:cs="Arial"/>
          <w:b/>
          <w:bCs/>
        </w:rPr>
        <w:t>- p. p. č. 1949/14</w:t>
      </w:r>
      <w:r w:rsidRPr="006D6F7A">
        <w:rPr>
          <w:rFonts w:ascii="Arial" w:hAnsi="Arial" w:cs="Arial"/>
          <w:bCs/>
        </w:rPr>
        <w:t>, ostatní plocha, jiná plocha, o výměře 300 m</w:t>
      </w:r>
      <w:r w:rsidRPr="006D6F7A">
        <w:rPr>
          <w:rFonts w:ascii="Arial" w:hAnsi="Arial" w:cs="Arial"/>
          <w:bCs/>
          <w:vertAlign w:val="superscript"/>
        </w:rPr>
        <w:t>2</w:t>
      </w:r>
      <w:r w:rsidRPr="006D6F7A">
        <w:rPr>
          <w:rFonts w:ascii="Arial" w:hAnsi="Arial" w:cs="Arial"/>
          <w:bCs/>
        </w:rPr>
        <w:t xml:space="preserve"> v </w:t>
      </w:r>
      <w:proofErr w:type="spellStart"/>
      <w:proofErr w:type="gramStart"/>
      <w:r w:rsidRPr="006D6F7A">
        <w:rPr>
          <w:rFonts w:ascii="Arial" w:hAnsi="Arial" w:cs="Arial"/>
          <w:bCs/>
        </w:rPr>
        <w:t>k.ú</w:t>
      </w:r>
      <w:proofErr w:type="spellEnd"/>
      <w:r w:rsidRPr="006D6F7A">
        <w:rPr>
          <w:rFonts w:ascii="Arial" w:hAnsi="Arial" w:cs="Arial"/>
          <w:bCs/>
        </w:rPr>
        <w:t>.</w:t>
      </w:r>
      <w:proofErr w:type="gramEnd"/>
      <w:r w:rsidRPr="006D6F7A">
        <w:rPr>
          <w:rFonts w:ascii="Arial" w:hAnsi="Arial" w:cs="Arial"/>
          <w:bCs/>
        </w:rPr>
        <w:t xml:space="preserve"> Chomutov II, pozemek se nachází v ul. Elišky Krásnohorské, tvoří veřejnou zeleň a navazuje na nově zřízené veřejné rekreační a sportovní zařízení - areál „Domovinka“, navazuje tak na pozemkové parcely ve vlastnictví města,</w:t>
      </w:r>
    </w:p>
    <w:p w:rsidR="003E39E8" w:rsidRPr="006D6F7A" w:rsidRDefault="003E39E8" w:rsidP="003E39E8">
      <w:pPr>
        <w:spacing w:after="240"/>
        <w:jc w:val="both"/>
        <w:rPr>
          <w:rFonts w:ascii="Arial" w:hAnsi="Arial" w:cs="Arial"/>
          <w:bCs/>
        </w:rPr>
      </w:pPr>
      <w:r w:rsidRPr="006D6F7A">
        <w:rPr>
          <w:rFonts w:ascii="Arial" w:hAnsi="Arial" w:cs="Arial"/>
          <w:b/>
          <w:bCs/>
        </w:rPr>
        <w:t>- p. p. č. 2532/2</w:t>
      </w:r>
      <w:r w:rsidRPr="006D6F7A">
        <w:rPr>
          <w:rFonts w:ascii="Arial" w:hAnsi="Arial" w:cs="Arial"/>
          <w:bCs/>
        </w:rPr>
        <w:t>, ostatní plocha, ostatní komunikace, o výměře 171 m</w:t>
      </w:r>
      <w:r w:rsidRPr="006D6F7A">
        <w:rPr>
          <w:rFonts w:ascii="Arial" w:hAnsi="Arial" w:cs="Arial"/>
          <w:bCs/>
          <w:vertAlign w:val="superscript"/>
        </w:rPr>
        <w:t>2</w:t>
      </w:r>
      <w:r w:rsidRPr="006D6F7A">
        <w:rPr>
          <w:rFonts w:ascii="Arial" w:hAnsi="Arial" w:cs="Arial"/>
          <w:bCs/>
        </w:rPr>
        <w:t xml:space="preserve"> v </w:t>
      </w:r>
      <w:proofErr w:type="spellStart"/>
      <w:proofErr w:type="gramStart"/>
      <w:r w:rsidRPr="006D6F7A">
        <w:rPr>
          <w:rFonts w:ascii="Arial" w:hAnsi="Arial" w:cs="Arial"/>
          <w:bCs/>
        </w:rPr>
        <w:t>k.ú</w:t>
      </w:r>
      <w:proofErr w:type="spellEnd"/>
      <w:r w:rsidRPr="006D6F7A">
        <w:rPr>
          <w:rFonts w:ascii="Arial" w:hAnsi="Arial" w:cs="Arial"/>
          <w:bCs/>
        </w:rPr>
        <w:t>.</w:t>
      </w:r>
      <w:proofErr w:type="gramEnd"/>
      <w:r w:rsidRPr="006D6F7A">
        <w:rPr>
          <w:rFonts w:ascii="Arial" w:hAnsi="Arial" w:cs="Arial"/>
          <w:bCs/>
        </w:rPr>
        <w:t xml:space="preserve"> Chomutov II, pozemek se nachází v zastavěné části města v ul. Na </w:t>
      </w:r>
      <w:proofErr w:type="spellStart"/>
      <w:r w:rsidRPr="006D6F7A">
        <w:rPr>
          <w:rFonts w:ascii="Arial" w:hAnsi="Arial" w:cs="Arial"/>
          <w:bCs/>
        </w:rPr>
        <w:t>Průhoně</w:t>
      </w:r>
      <w:proofErr w:type="spellEnd"/>
      <w:r w:rsidRPr="006D6F7A">
        <w:rPr>
          <w:rFonts w:ascii="Arial" w:hAnsi="Arial" w:cs="Arial"/>
          <w:bCs/>
        </w:rPr>
        <w:t xml:space="preserve"> pod veřejnou komunikací – chodníkem, který spojuje ul. Na </w:t>
      </w:r>
      <w:proofErr w:type="spellStart"/>
      <w:r w:rsidRPr="006D6F7A">
        <w:rPr>
          <w:rFonts w:ascii="Arial" w:hAnsi="Arial" w:cs="Arial"/>
          <w:bCs/>
        </w:rPr>
        <w:t>Průhoně</w:t>
      </w:r>
      <w:proofErr w:type="spellEnd"/>
      <w:r w:rsidRPr="006D6F7A">
        <w:rPr>
          <w:rFonts w:ascii="Arial" w:hAnsi="Arial" w:cs="Arial"/>
          <w:bCs/>
        </w:rPr>
        <w:t xml:space="preserve"> a ul. Sokolskou, slouží jako přístupová cesta k bytovým domům, z části tvoří veřejnou zeleň a bezprostředně navazuje na pozemky ve vlastnictví města, </w:t>
      </w:r>
    </w:p>
    <w:p w:rsidR="003E39E8" w:rsidRPr="006D6F7A" w:rsidRDefault="003E39E8" w:rsidP="003E39E8">
      <w:pPr>
        <w:spacing w:after="240"/>
        <w:jc w:val="both"/>
        <w:rPr>
          <w:rFonts w:ascii="Arial" w:hAnsi="Arial" w:cs="Arial"/>
          <w:bCs/>
        </w:rPr>
      </w:pPr>
      <w:r w:rsidRPr="006D6F7A">
        <w:rPr>
          <w:rFonts w:ascii="Arial" w:hAnsi="Arial" w:cs="Arial"/>
          <w:b/>
          <w:bCs/>
        </w:rPr>
        <w:t xml:space="preserve">- p. p. č. 431/7, </w:t>
      </w:r>
      <w:r w:rsidRPr="006D6F7A">
        <w:rPr>
          <w:rFonts w:ascii="Arial" w:hAnsi="Arial" w:cs="Arial"/>
          <w:bCs/>
        </w:rPr>
        <w:t>ostatní plocha, ostatní komunikace, o výměře 1 678 m</w:t>
      </w:r>
      <w:r w:rsidRPr="006D6F7A">
        <w:rPr>
          <w:rFonts w:ascii="Arial" w:hAnsi="Arial" w:cs="Arial"/>
          <w:bCs/>
          <w:vertAlign w:val="superscript"/>
        </w:rPr>
        <w:t>2</w:t>
      </w:r>
      <w:r w:rsidRPr="006D6F7A">
        <w:rPr>
          <w:rFonts w:ascii="Arial" w:hAnsi="Arial" w:cs="Arial"/>
          <w:bCs/>
        </w:rPr>
        <w:t xml:space="preserve"> v </w:t>
      </w:r>
      <w:proofErr w:type="spellStart"/>
      <w:proofErr w:type="gramStart"/>
      <w:r w:rsidRPr="006D6F7A">
        <w:rPr>
          <w:rFonts w:ascii="Arial" w:hAnsi="Arial" w:cs="Arial"/>
          <w:bCs/>
        </w:rPr>
        <w:t>k.ú</w:t>
      </w:r>
      <w:proofErr w:type="spellEnd"/>
      <w:r w:rsidRPr="006D6F7A">
        <w:rPr>
          <w:rFonts w:ascii="Arial" w:hAnsi="Arial" w:cs="Arial"/>
          <w:bCs/>
        </w:rPr>
        <w:t>.</w:t>
      </w:r>
      <w:proofErr w:type="gramEnd"/>
      <w:r w:rsidRPr="006D6F7A">
        <w:rPr>
          <w:rFonts w:ascii="Arial" w:hAnsi="Arial" w:cs="Arial"/>
          <w:bCs/>
        </w:rPr>
        <w:t xml:space="preserve"> Chomutov II, pozemek se nachází v zastavěné části města v ul. Šafaříkova pod veřejnými komunikacemi a parkovištěm ve vlastnictví města, z části tvoří veřejnou zeleň a bezprostředně navazuje na pozemky ve vlastnictví města,</w:t>
      </w:r>
    </w:p>
    <w:p w:rsidR="003E39E8" w:rsidRPr="006D6F7A" w:rsidRDefault="003E39E8" w:rsidP="003E39E8">
      <w:pPr>
        <w:spacing w:after="240"/>
        <w:jc w:val="both"/>
        <w:rPr>
          <w:rFonts w:ascii="Arial" w:hAnsi="Arial" w:cs="Arial"/>
          <w:bCs/>
        </w:rPr>
      </w:pPr>
      <w:r w:rsidRPr="006D6F7A">
        <w:rPr>
          <w:rFonts w:ascii="Arial" w:hAnsi="Arial" w:cs="Arial"/>
          <w:b/>
          <w:bCs/>
        </w:rPr>
        <w:t>- p. p. č. 1806/1</w:t>
      </w:r>
      <w:r w:rsidRPr="006D6F7A">
        <w:rPr>
          <w:rFonts w:ascii="Arial" w:hAnsi="Arial" w:cs="Arial"/>
          <w:bCs/>
        </w:rPr>
        <w:t>, ostatní plocha, ostatní komunikace, o výměře 1 545 m</w:t>
      </w:r>
      <w:r w:rsidRPr="006D6F7A">
        <w:rPr>
          <w:rFonts w:ascii="Arial" w:hAnsi="Arial" w:cs="Arial"/>
          <w:bCs/>
          <w:vertAlign w:val="superscript"/>
        </w:rPr>
        <w:t>2</w:t>
      </w:r>
      <w:r>
        <w:rPr>
          <w:rFonts w:ascii="Arial" w:hAnsi="Arial" w:cs="Arial"/>
          <w:bCs/>
        </w:rPr>
        <w:t xml:space="preserve"> </w:t>
      </w:r>
      <w:r w:rsidRPr="006D6F7A">
        <w:rPr>
          <w:rFonts w:ascii="Arial" w:hAnsi="Arial" w:cs="Arial"/>
          <w:bCs/>
        </w:rPr>
        <w:t>v </w:t>
      </w:r>
      <w:proofErr w:type="spellStart"/>
      <w:proofErr w:type="gramStart"/>
      <w:r w:rsidRPr="006D6F7A">
        <w:rPr>
          <w:rFonts w:ascii="Arial" w:hAnsi="Arial" w:cs="Arial"/>
          <w:bCs/>
        </w:rPr>
        <w:t>k.ú</w:t>
      </w:r>
      <w:proofErr w:type="spellEnd"/>
      <w:r w:rsidRPr="006D6F7A">
        <w:rPr>
          <w:rFonts w:ascii="Arial" w:hAnsi="Arial" w:cs="Arial"/>
          <w:bCs/>
        </w:rPr>
        <w:t>.</w:t>
      </w:r>
      <w:proofErr w:type="gramEnd"/>
      <w:r w:rsidRPr="006D6F7A">
        <w:rPr>
          <w:rFonts w:ascii="Arial" w:hAnsi="Arial" w:cs="Arial"/>
          <w:bCs/>
        </w:rPr>
        <w:t xml:space="preserve"> Chomutov I, pozemek se nachází v zastavěné části města v ul. Tomáše ze Štítného pod veřejnými komunikacemi – chodníky, které z části tvoří přístupové cesty k bytovým domům a z části </w:t>
      </w:r>
      <w:r w:rsidRPr="006D6F7A">
        <w:rPr>
          <w:rFonts w:ascii="Arial" w:hAnsi="Arial" w:cs="Arial"/>
          <w:bCs/>
        </w:rPr>
        <w:lastRenderedPageBreak/>
        <w:t>veřejnou zeleň okolo bytových domů, pozemek bezprostředně navazuje na pozemky ve vlastnictví města,</w:t>
      </w:r>
    </w:p>
    <w:p w:rsidR="003E39E8" w:rsidRPr="006D6F7A" w:rsidRDefault="003E39E8" w:rsidP="003E39E8">
      <w:pPr>
        <w:spacing w:after="240"/>
        <w:jc w:val="both"/>
        <w:rPr>
          <w:rFonts w:ascii="Arial" w:hAnsi="Arial" w:cs="Arial"/>
          <w:bCs/>
        </w:rPr>
      </w:pPr>
      <w:r w:rsidRPr="006D6F7A">
        <w:rPr>
          <w:rFonts w:ascii="Arial" w:hAnsi="Arial" w:cs="Arial"/>
          <w:b/>
          <w:bCs/>
        </w:rPr>
        <w:t xml:space="preserve">- p. p. č. 4514, </w:t>
      </w:r>
      <w:r w:rsidRPr="006D6F7A">
        <w:rPr>
          <w:rFonts w:ascii="Arial" w:hAnsi="Arial" w:cs="Arial"/>
          <w:bCs/>
        </w:rPr>
        <w:t>ostatní plocha, neplodná půda, o výměře 316 m</w:t>
      </w:r>
      <w:r w:rsidRPr="006D6F7A">
        <w:rPr>
          <w:rFonts w:ascii="Arial" w:hAnsi="Arial" w:cs="Arial"/>
          <w:bCs/>
          <w:vertAlign w:val="superscript"/>
        </w:rPr>
        <w:t>2</w:t>
      </w:r>
      <w:r w:rsidRPr="006D6F7A">
        <w:rPr>
          <w:rFonts w:ascii="Arial" w:hAnsi="Arial" w:cs="Arial"/>
          <w:bCs/>
        </w:rPr>
        <w:t xml:space="preserve"> v </w:t>
      </w:r>
      <w:proofErr w:type="spellStart"/>
      <w:proofErr w:type="gramStart"/>
      <w:r w:rsidRPr="006D6F7A">
        <w:rPr>
          <w:rFonts w:ascii="Arial" w:hAnsi="Arial" w:cs="Arial"/>
          <w:bCs/>
        </w:rPr>
        <w:t>k.ú</w:t>
      </w:r>
      <w:proofErr w:type="spellEnd"/>
      <w:r w:rsidRPr="006D6F7A">
        <w:rPr>
          <w:rFonts w:ascii="Arial" w:hAnsi="Arial" w:cs="Arial"/>
          <w:bCs/>
        </w:rPr>
        <w:t>.</w:t>
      </w:r>
      <w:proofErr w:type="gramEnd"/>
      <w:r w:rsidRPr="006D6F7A">
        <w:rPr>
          <w:rFonts w:ascii="Arial" w:hAnsi="Arial" w:cs="Arial"/>
          <w:bCs/>
        </w:rPr>
        <w:t xml:space="preserve"> Chomutov I, pozemek se nachází u vjezdu do areálu dolu Jan Žižka v ul. Dukelská a tvoří veřejnou zeleň mezi korytem řeky Chomutovky a komunikací,</w:t>
      </w:r>
    </w:p>
    <w:p w:rsidR="003E39E8" w:rsidRPr="006D6F7A" w:rsidRDefault="003E39E8" w:rsidP="003E39E8">
      <w:pPr>
        <w:spacing w:after="240"/>
        <w:jc w:val="both"/>
        <w:rPr>
          <w:rFonts w:ascii="Arial" w:hAnsi="Arial" w:cs="Arial"/>
          <w:bCs/>
        </w:rPr>
      </w:pPr>
      <w:r w:rsidRPr="006D6F7A">
        <w:rPr>
          <w:rFonts w:ascii="Arial" w:hAnsi="Arial" w:cs="Arial"/>
          <w:b/>
          <w:bCs/>
        </w:rPr>
        <w:t xml:space="preserve">- p. p. č. 4516/10, </w:t>
      </w:r>
      <w:r w:rsidRPr="006D6F7A">
        <w:rPr>
          <w:rFonts w:ascii="Arial" w:hAnsi="Arial" w:cs="Arial"/>
          <w:bCs/>
        </w:rPr>
        <w:t>ostatní plocha, manipulační plocha, o výměře 170 m</w:t>
      </w:r>
      <w:r w:rsidRPr="006D6F7A">
        <w:rPr>
          <w:rFonts w:ascii="Arial" w:hAnsi="Arial" w:cs="Arial"/>
          <w:bCs/>
          <w:vertAlign w:val="superscript"/>
        </w:rPr>
        <w:t>2</w:t>
      </w:r>
      <w:r w:rsidRPr="006D6F7A">
        <w:rPr>
          <w:rFonts w:ascii="Arial" w:hAnsi="Arial" w:cs="Arial"/>
          <w:bCs/>
        </w:rPr>
        <w:t xml:space="preserve"> v </w:t>
      </w:r>
      <w:proofErr w:type="spellStart"/>
      <w:proofErr w:type="gramStart"/>
      <w:r w:rsidRPr="006D6F7A">
        <w:rPr>
          <w:rFonts w:ascii="Arial" w:hAnsi="Arial" w:cs="Arial"/>
          <w:bCs/>
        </w:rPr>
        <w:t>k.ú</w:t>
      </w:r>
      <w:proofErr w:type="spellEnd"/>
      <w:r w:rsidRPr="006D6F7A">
        <w:rPr>
          <w:rFonts w:ascii="Arial" w:hAnsi="Arial" w:cs="Arial"/>
          <w:bCs/>
        </w:rPr>
        <w:t>.</w:t>
      </w:r>
      <w:proofErr w:type="gramEnd"/>
      <w:r w:rsidRPr="006D6F7A">
        <w:rPr>
          <w:rFonts w:ascii="Arial" w:hAnsi="Arial" w:cs="Arial"/>
          <w:bCs/>
        </w:rPr>
        <w:t xml:space="preserve"> Chomutov I, pozemek se nachází v ul. Dukelská a tvoří veřejnou zeleň mezi korytem řeky Chomutovky a řadovými garážemi.</w:t>
      </w:r>
    </w:p>
    <w:p w:rsidR="003E39E8" w:rsidRPr="006D6F7A" w:rsidRDefault="003E39E8" w:rsidP="003E39E8">
      <w:pPr>
        <w:spacing w:after="240"/>
        <w:jc w:val="both"/>
        <w:rPr>
          <w:rFonts w:ascii="Arial" w:hAnsi="Arial" w:cs="Arial"/>
          <w:bCs/>
        </w:rPr>
      </w:pPr>
      <w:r w:rsidRPr="006D6F7A">
        <w:rPr>
          <w:rFonts w:ascii="Arial" w:hAnsi="Arial" w:cs="Arial"/>
          <w:bCs/>
        </w:rPr>
        <w:t xml:space="preserve">Zastupitelstvo Statutárního města Chomutova schválilo bezúplatné nabytí </w:t>
      </w:r>
      <w:r>
        <w:rPr>
          <w:rFonts w:ascii="Arial" w:hAnsi="Arial" w:cs="Arial"/>
          <w:bCs/>
        </w:rPr>
        <w:t>nemovitého majetku</w:t>
      </w:r>
      <w:r w:rsidRPr="006D6F7A">
        <w:rPr>
          <w:rFonts w:ascii="Arial" w:hAnsi="Arial" w:cs="Arial"/>
          <w:bCs/>
        </w:rPr>
        <w:t xml:space="preserve"> (výše uvedených pozemků) Usnesením č. 075/14/32 ze dne 15. září 2014. </w:t>
      </w:r>
    </w:p>
    <w:p w:rsidR="003E39E8" w:rsidRPr="006D6F7A" w:rsidRDefault="003E39E8" w:rsidP="003E39E8">
      <w:pPr>
        <w:spacing w:after="240"/>
        <w:jc w:val="both"/>
        <w:rPr>
          <w:rFonts w:ascii="Arial" w:hAnsi="Arial" w:cs="Arial"/>
          <w:bCs/>
          <w:iCs/>
        </w:rPr>
      </w:pPr>
      <w:r w:rsidRPr="006D6F7A">
        <w:rPr>
          <w:rFonts w:ascii="Arial" w:hAnsi="Arial" w:cs="Arial"/>
          <w:bCs/>
          <w:iCs/>
        </w:rPr>
        <w:t xml:space="preserve">Dle vyjádření </w:t>
      </w:r>
      <w:proofErr w:type="spellStart"/>
      <w:r w:rsidRPr="006D6F7A">
        <w:rPr>
          <w:rFonts w:ascii="Arial" w:hAnsi="Arial" w:cs="Arial"/>
          <w:bCs/>
          <w:iCs/>
        </w:rPr>
        <w:t>MZe</w:t>
      </w:r>
      <w:proofErr w:type="spellEnd"/>
      <w:r w:rsidRPr="006D6F7A">
        <w:rPr>
          <w:rFonts w:ascii="Arial" w:hAnsi="Arial" w:cs="Arial"/>
          <w:bCs/>
          <w:iCs/>
        </w:rPr>
        <w:t>, Pozemkového úřadu v Chomutově č. j. PÚ/1353/2010/</w:t>
      </w:r>
      <w:proofErr w:type="spellStart"/>
      <w:r w:rsidRPr="006D6F7A">
        <w:rPr>
          <w:rFonts w:ascii="Arial" w:hAnsi="Arial" w:cs="Arial"/>
          <w:bCs/>
          <w:iCs/>
        </w:rPr>
        <w:t>Bo</w:t>
      </w:r>
      <w:proofErr w:type="spellEnd"/>
      <w:r w:rsidRPr="006D6F7A">
        <w:rPr>
          <w:rFonts w:ascii="Arial" w:hAnsi="Arial" w:cs="Arial"/>
          <w:bCs/>
          <w:iCs/>
        </w:rPr>
        <w:t>/408/</w:t>
      </w:r>
      <w:proofErr w:type="spellStart"/>
      <w:r w:rsidRPr="006D6F7A">
        <w:rPr>
          <w:rFonts w:ascii="Arial" w:hAnsi="Arial" w:cs="Arial"/>
          <w:bCs/>
          <w:iCs/>
        </w:rPr>
        <w:t>lu</w:t>
      </w:r>
      <w:proofErr w:type="spellEnd"/>
      <w:r w:rsidRPr="006D6F7A">
        <w:rPr>
          <w:rFonts w:ascii="Arial" w:hAnsi="Arial" w:cs="Arial"/>
          <w:bCs/>
          <w:iCs/>
        </w:rPr>
        <w:t xml:space="preserve">, ze dne 4. srpna 2010, na pozemky č. 1806/1, 4514, 4516/10 v k. </w:t>
      </w:r>
      <w:proofErr w:type="spellStart"/>
      <w:r w:rsidRPr="006D6F7A">
        <w:rPr>
          <w:rFonts w:ascii="Arial" w:hAnsi="Arial" w:cs="Arial"/>
          <w:bCs/>
          <w:iCs/>
        </w:rPr>
        <w:t>ú.</w:t>
      </w:r>
      <w:proofErr w:type="spellEnd"/>
      <w:r w:rsidRPr="006D6F7A">
        <w:rPr>
          <w:rFonts w:ascii="Arial" w:hAnsi="Arial" w:cs="Arial"/>
          <w:bCs/>
          <w:iCs/>
        </w:rPr>
        <w:t xml:space="preserve"> Chomutov I dle zákonů</w:t>
      </w:r>
      <w:r>
        <w:rPr>
          <w:rFonts w:ascii="Arial" w:hAnsi="Arial" w:cs="Arial"/>
          <w:bCs/>
          <w:iCs/>
        </w:rPr>
        <w:t xml:space="preserve"> </w:t>
      </w:r>
      <w:r w:rsidRPr="006D6F7A">
        <w:rPr>
          <w:rFonts w:ascii="Arial" w:hAnsi="Arial" w:cs="Arial"/>
          <w:bCs/>
          <w:iCs/>
        </w:rPr>
        <w:t xml:space="preserve">č. 229/1991 Sb., č. 243/1992 Sb. a č. 212/2000 Sb., v platném znění, nebyl uplatněn restituční nárok. Dle vyjádření Státního pozemkového úřadu, Krajského pozemkového úřadu pro Ústecký kraj, pobočka Chomutov, č. j. SPÚ 212175/2014, ze dne 12. května 2014, na pozemky č. 431/7, 1949/14, 2532/2 v k. </w:t>
      </w:r>
      <w:proofErr w:type="spellStart"/>
      <w:r w:rsidRPr="006D6F7A">
        <w:rPr>
          <w:rFonts w:ascii="Arial" w:hAnsi="Arial" w:cs="Arial"/>
          <w:bCs/>
          <w:iCs/>
        </w:rPr>
        <w:t>ú.</w:t>
      </w:r>
      <w:proofErr w:type="spellEnd"/>
      <w:r w:rsidRPr="006D6F7A">
        <w:rPr>
          <w:rFonts w:ascii="Arial" w:hAnsi="Arial" w:cs="Arial"/>
          <w:bCs/>
          <w:iCs/>
        </w:rPr>
        <w:t xml:space="preserve"> Chomutov II dle zákonů č. 229/1991 Sb.,</w:t>
      </w:r>
      <w:r>
        <w:rPr>
          <w:rFonts w:ascii="Arial" w:hAnsi="Arial" w:cs="Arial"/>
          <w:bCs/>
          <w:iCs/>
        </w:rPr>
        <w:t xml:space="preserve"> </w:t>
      </w:r>
      <w:r w:rsidRPr="006D6F7A">
        <w:rPr>
          <w:rFonts w:ascii="Arial" w:hAnsi="Arial" w:cs="Arial"/>
          <w:bCs/>
          <w:iCs/>
        </w:rPr>
        <w:t>č. 243/1992 Sb. a č. 212/2000 Sb., v platném znění, nebyl uplatněn restituční nárok.</w:t>
      </w:r>
    </w:p>
    <w:p w:rsidR="003E39E8" w:rsidRPr="006D6F7A" w:rsidRDefault="003E39E8" w:rsidP="003E39E8">
      <w:pPr>
        <w:spacing w:after="240"/>
        <w:jc w:val="both"/>
        <w:rPr>
          <w:rFonts w:ascii="Arial" w:hAnsi="Arial" w:cs="Arial"/>
          <w:bCs/>
          <w:iCs/>
        </w:rPr>
      </w:pPr>
      <w:r w:rsidRPr="006D6F7A">
        <w:rPr>
          <w:rFonts w:ascii="Arial" w:hAnsi="Arial" w:cs="Arial"/>
          <w:bCs/>
          <w:iCs/>
        </w:rPr>
        <w:t xml:space="preserve">Dle prohlášení ředitele státního podniku ze dne 24. února 2015 je majetek pro činnost státního podniku Palivový kombinát Ústí </w:t>
      </w:r>
      <w:r w:rsidRPr="006D6F7A">
        <w:rPr>
          <w:rFonts w:ascii="Arial" w:hAnsi="Arial" w:cs="Arial"/>
          <w:b/>
          <w:bCs/>
          <w:iCs/>
        </w:rPr>
        <w:t>trvale nepotřebný a přesahuje potřeby státního podniku, nepodléhá restituci, nejedná se o majetek církví, ani o majetek určený k privatizaci. Ředitel státního podniku dále prohlašuje, že návrh darovací smlouvy byl s budoucím nabyvatelem předem projednán.</w:t>
      </w:r>
    </w:p>
    <w:p w:rsidR="003E39E8" w:rsidRPr="006D6F7A" w:rsidRDefault="003E39E8" w:rsidP="003E39E8">
      <w:pPr>
        <w:spacing w:after="240"/>
        <w:jc w:val="both"/>
        <w:rPr>
          <w:rFonts w:ascii="Arial" w:hAnsi="Arial" w:cs="Arial"/>
          <w:bCs/>
          <w:iCs/>
        </w:rPr>
      </w:pPr>
      <w:r w:rsidRPr="006D6F7A">
        <w:rPr>
          <w:rFonts w:ascii="Arial" w:hAnsi="Arial" w:cs="Arial"/>
          <w:bCs/>
        </w:rPr>
        <w:t>Převod tohoto majetku lze uskutečnit na základě ustanovení § 16 odst. 9 zákona č. 77/1997 Sb., o státním podniku, ve znění pozdějších předpisů.</w:t>
      </w:r>
    </w:p>
    <w:p w:rsidR="003E39E8" w:rsidRPr="006D6F7A" w:rsidRDefault="003E39E8" w:rsidP="003E39E8">
      <w:pPr>
        <w:spacing w:after="240"/>
        <w:jc w:val="both"/>
        <w:rPr>
          <w:rFonts w:ascii="Arial" w:hAnsi="Arial" w:cs="Arial"/>
          <w:bCs/>
        </w:rPr>
      </w:pPr>
      <w:r w:rsidRPr="006D6F7A">
        <w:rPr>
          <w:rFonts w:ascii="Arial" w:hAnsi="Arial" w:cs="Arial"/>
          <w:bCs/>
        </w:rPr>
        <w:t xml:space="preserve">Jelikož schválení tohoto bezúplatného převodu majetku státu přísluší vládě České republiky, požádal </w:t>
      </w:r>
      <w:r w:rsidRPr="006D6F7A">
        <w:rPr>
          <w:rFonts w:ascii="Arial" w:hAnsi="Arial" w:cs="Arial"/>
          <w:b/>
          <w:bCs/>
        </w:rPr>
        <w:t xml:space="preserve">Palivový kombinát Ústí, státní podnik, </w:t>
      </w:r>
      <w:r w:rsidRPr="006D6F7A">
        <w:rPr>
          <w:rFonts w:ascii="Arial" w:hAnsi="Arial" w:cs="Arial"/>
          <w:bCs/>
        </w:rPr>
        <w:t>Ministerstvo průmyslu a obchodu o zabezpečení souhlasu vlády ČR k bezúplatnému převodu majetku státu.</w:t>
      </w:r>
    </w:p>
    <w:p w:rsidR="003E39E8" w:rsidRDefault="003E39E8" w:rsidP="003E39E8">
      <w:pPr>
        <w:spacing w:after="240"/>
        <w:jc w:val="both"/>
        <w:rPr>
          <w:rFonts w:ascii="Arial" w:hAnsi="Arial" w:cs="Arial"/>
          <w:bCs/>
        </w:rPr>
      </w:pPr>
      <w:r w:rsidRPr="006D6F7A">
        <w:rPr>
          <w:rFonts w:ascii="Arial" w:hAnsi="Arial" w:cs="Arial"/>
          <w:bCs/>
        </w:rPr>
        <w:t>Převod majetku, o který Statutární město Chomutov požádalo,</w:t>
      </w:r>
      <w:r w:rsidRPr="006D6F7A">
        <w:rPr>
          <w:rFonts w:ascii="Arial" w:hAnsi="Arial" w:cs="Arial"/>
          <w:b/>
          <w:bCs/>
        </w:rPr>
        <w:t xml:space="preserve"> odsouhlasila dozorčí rada </w:t>
      </w:r>
      <w:r w:rsidRPr="006D6F7A">
        <w:rPr>
          <w:rFonts w:ascii="Arial" w:hAnsi="Arial" w:cs="Arial"/>
          <w:bCs/>
        </w:rPr>
        <w:t xml:space="preserve">státního podniku a nebude mít dopad na státní rozpočet, ani na rozpočet Ministerstva průmyslu a obchodu, neboť státní podnik Palivový kombinát Ústí je podle ustanovení § 2 odst. 1 zákona č. 77/1997 Sb., o státním podniku, ve znění pozdějších předpisů, právnickou osobou provozující podnikatelskou činnost s majetkem státu vlastním jménem a na vlastní odpovědnost. </w:t>
      </w:r>
    </w:p>
    <w:p w:rsidR="003E39E8" w:rsidRPr="00176072" w:rsidRDefault="003E39E8" w:rsidP="003E39E8">
      <w:pPr>
        <w:ind w:left="60" w:firstLine="648"/>
        <w:jc w:val="both"/>
        <w:rPr>
          <w:rFonts w:ascii="Arial" w:hAnsi="Arial" w:cs="Arial"/>
        </w:rPr>
      </w:pPr>
      <w:r w:rsidRPr="00176072">
        <w:rPr>
          <w:rFonts w:ascii="Arial" w:hAnsi="Arial" w:cs="Arial"/>
        </w:rPr>
        <w:t>V  rámci připomínkového řízení byl</w:t>
      </w:r>
      <w:r>
        <w:rPr>
          <w:rFonts w:ascii="Arial" w:hAnsi="Arial" w:cs="Arial"/>
        </w:rPr>
        <w:t>a</w:t>
      </w:r>
      <w:r w:rsidRPr="00176072">
        <w:rPr>
          <w:rFonts w:ascii="Arial" w:hAnsi="Arial" w:cs="Arial"/>
        </w:rPr>
        <w:t xml:space="preserve"> uplatněn</w:t>
      </w:r>
      <w:r>
        <w:rPr>
          <w:rFonts w:ascii="Arial" w:hAnsi="Arial" w:cs="Arial"/>
        </w:rPr>
        <w:t>a</w:t>
      </w:r>
      <w:r w:rsidRPr="00176072">
        <w:rPr>
          <w:rFonts w:ascii="Arial" w:hAnsi="Arial" w:cs="Arial"/>
        </w:rPr>
        <w:t xml:space="preserve"> </w:t>
      </w:r>
      <w:r>
        <w:rPr>
          <w:rFonts w:ascii="Arial" w:hAnsi="Arial" w:cs="Arial"/>
        </w:rPr>
        <w:t>zásadní</w:t>
      </w:r>
      <w:r w:rsidRPr="00176072">
        <w:rPr>
          <w:rFonts w:ascii="Arial" w:hAnsi="Arial" w:cs="Arial"/>
        </w:rPr>
        <w:t xml:space="preserve"> připomínk</w:t>
      </w:r>
      <w:r>
        <w:rPr>
          <w:rFonts w:ascii="Arial" w:hAnsi="Arial" w:cs="Arial"/>
        </w:rPr>
        <w:t xml:space="preserve">a </w:t>
      </w:r>
      <w:r w:rsidRPr="00176072">
        <w:rPr>
          <w:rFonts w:ascii="Arial" w:hAnsi="Arial" w:cs="Arial"/>
        </w:rPr>
        <w:t>ze strany Ministerstva financí</w:t>
      </w:r>
      <w:r>
        <w:rPr>
          <w:rFonts w:ascii="Arial" w:hAnsi="Arial" w:cs="Arial"/>
        </w:rPr>
        <w:t>, která v rámci vypořádání, byla Ministerstvem financí uznána jako chybná</w:t>
      </w:r>
      <w:r w:rsidRPr="00176072">
        <w:rPr>
          <w:rFonts w:ascii="Arial" w:hAnsi="Arial" w:cs="Arial"/>
        </w:rPr>
        <w:t xml:space="preserve"> a </w:t>
      </w:r>
      <w:r w:rsidRPr="00176072">
        <w:rPr>
          <w:rFonts w:ascii="Arial" w:hAnsi="Arial" w:cs="Arial"/>
          <w:b/>
        </w:rPr>
        <w:t xml:space="preserve">materiál je předkládán jako </w:t>
      </w:r>
      <w:proofErr w:type="spellStart"/>
      <w:r w:rsidRPr="00176072">
        <w:rPr>
          <w:rFonts w:ascii="Arial" w:hAnsi="Arial" w:cs="Arial"/>
          <w:b/>
        </w:rPr>
        <w:t>bezrozporový</w:t>
      </w:r>
      <w:proofErr w:type="spellEnd"/>
      <w:r w:rsidRPr="00176072">
        <w:rPr>
          <w:rFonts w:ascii="Arial" w:hAnsi="Arial" w:cs="Arial"/>
          <w:b/>
        </w:rPr>
        <w:t>.</w:t>
      </w: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Default="003E39E8" w:rsidP="003E39E8">
      <w:pPr>
        <w:rPr>
          <w:rFonts w:asciiTheme="minorHAnsi" w:hAnsiTheme="minorHAnsi" w:cstheme="minorHAnsi"/>
        </w:rPr>
      </w:pPr>
    </w:p>
    <w:p w:rsidR="003E39E8" w:rsidRPr="00FE2BBA" w:rsidRDefault="003E39E8" w:rsidP="003E39E8">
      <w:pPr>
        <w:spacing w:before="120" w:after="600"/>
        <w:jc w:val="center"/>
        <w:rPr>
          <w:rFonts w:ascii="Arial" w:hAnsi="Arial" w:cs="Arial"/>
          <w:b/>
          <w:bCs/>
        </w:rPr>
      </w:pPr>
      <w:bookmarkStart w:id="1" w:name="Text8"/>
      <w:r>
        <w:rPr>
          <w:rFonts w:ascii="Arial" w:hAnsi="Arial" w:cs="Arial"/>
          <w:b/>
          <w:bCs/>
        </w:rPr>
        <w:t>TISKOVÁ ZPRÁVA</w:t>
      </w:r>
    </w:p>
    <w:p w:rsidR="003E39E8" w:rsidRDefault="003E39E8" w:rsidP="003E39E8">
      <w:pPr>
        <w:spacing w:before="120" w:after="600"/>
        <w:jc w:val="center"/>
        <w:rPr>
          <w:rFonts w:ascii="Arial" w:hAnsi="Arial" w:cs="Arial"/>
          <w:b/>
          <w:bCs/>
        </w:rPr>
      </w:pPr>
      <w:r>
        <w:rPr>
          <w:rFonts w:ascii="Arial" w:hAnsi="Arial" w:cs="Arial"/>
          <w:b/>
          <w:bCs/>
        </w:rPr>
        <w:t>Vláda projednala b</w:t>
      </w:r>
      <w:r w:rsidRPr="00AF2E50">
        <w:rPr>
          <w:rFonts w:ascii="Arial" w:hAnsi="Arial" w:cs="Arial"/>
          <w:b/>
          <w:bCs/>
        </w:rPr>
        <w:t>ezúplatný převod nepotřebného majetku státu</w:t>
      </w:r>
      <w:r>
        <w:rPr>
          <w:rFonts w:ascii="Arial" w:hAnsi="Arial" w:cs="Arial"/>
          <w:b/>
          <w:bCs/>
        </w:rPr>
        <w:t xml:space="preserve"> </w:t>
      </w:r>
      <w:r w:rsidRPr="00AF2E50">
        <w:rPr>
          <w:rFonts w:ascii="Arial" w:hAnsi="Arial" w:cs="Arial"/>
          <w:b/>
          <w:bCs/>
        </w:rPr>
        <w:t xml:space="preserve">do vlastnictví Statutárního města Chomutova </w:t>
      </w:r>
    </w:p>
    <w:bookmarkEnd w:id="1"/>
    <w:p w:rsidR="003E39E8" w:rsidRPr="00AF2E50" w:rsidRDefault="003E39E8" w:rsidP="003E39E8">
      <w:pPr>
        <w:spacing w:before="120"/>
        <w:jc w:val="both"/>
        <w:rPr>
          <w:rFonts w:ascii="Arial" w:hAnsi="Arial" w:cs="Arial"/>
          <w:b/>
          <w:bCs/>
        </w:rPr>
      </w:pPr>
      <w:r w:rsidRPr="00AF2E50">
        <w:rPr>
          <w:rFonts w:ascii="Arial" w:hAnsi="Arial" w:cs="Arial"/>
          <w:b/>
          <w:bCs/>
        </w:rPr>
        <w:t>Ministerstvo průmyslu a  obchodu předložilo vládě České republiky ke schválení materiál, který řeší v souladu zákonem bezúplatný převod nepotřebného majetku státu, se kterým má právo hospodařit státní podnik Palivový kombinát Ústí.</w:t>
      </w:r>
    </w:p>
    <w:p w:rsidR="003E39E8" w:rsidRPr="00AF2E50" w:rsidRDefault="003E39E8" w:rsidP="003E39E8">
      <w:pPr>
        <w:spacing w:before="120"/>
        <w:jc w:val="both"/>
        <w:rPr>
          <w:rFonts w:ascii="Arial" w:hAnsi="Arial" w:cs="Arial"/>
          <w:bCs/>
        </w:rPr>
      </w:pPr>
      <w:r w:rsidRPr="00AF2E50">
        <w:rPr>
          <w:rFonts w:ascii="Arial" w:hAnsi="Arial" w:cs="Arial"/>
        </w:rPr>
        <w:t>Cílem navrhovaného převodu</w:t>
      </w:r>
      <w:r w:rsidRPr="00AF2E50">
        <w:rPr>
          <w:rFonts w:ascii="Arial" w:hAnsi="Arial" w:cs="Arial"/>
          <w:b/>
        </w:rPr>
        <w:t xml:space="preserve"> </w:t>
      </w:r>
      <w:r w:rsidRPr="00AF2E50">
        <w:rPr>
          <w:rFonts w:ascii="Arial" w:hAnsi="Arial" w:cs="Arial"/>
        </w:rPr>
        <w:t xml:space="preserve">je </w:t>
      </w:r>
      <w:r w:rsidRPr="00AF2E50">
        <w:rPr>
          <w:rFonts w:ascii="Arial" w:hAnsi="Arial" w:cs="Arial"/>
          <w:bCs/>
        </w:rPr>
        <w:t xml:space="preserve">efektivnější využití majetku státu. </w:t>
      </w:r>
      <w:r w:rsidRPr="00AF2E50">
        <w:rPr>
          <w:rFonts w:ascii="Arial" w:hAnsi="Arial" w:cs="Arial"/>
        </w:rPr>
        <w:t xml:space="preserve">Palivový kombinát Ústí navrhl převést pozemky o celkové výměře </w:t>
      </w:r>
      <w:r>
        <w:rPr>
          <w:rFonts w:ascii="Arial" w:hAnsi="Arial" w:cs="Arial"/>
        </w:rPr>
        <w:t>4 180</w:t>
      </w:r>
      <w:r w:rsidRPr="00AF2E50">
        <w:rPr>
          <w:rFonts w:ascii="Arial" w:hAnsi="Arial" w:cs="Arial"/>
        </w:rPr>
        <w:t xml:space="preserve"> m</w:t>
      </w:r>
      <w:r w:rsidRPr="00AF2E50">
        <w:rPr>
          <w:rFonts w:ascii="Arial" w:hAnsi="Arial" w:cs="Arial"/>
          <w:vertAlign w:val="superscript"/>
        </w:rPr>
        <w:t>2</w:t>
      </w:r>
      <w:r w:rsidRPr="00AF2E50">
        <w:rPr>
          <w:rFonts w:ascii="Arial" w:hAnsi="Arial" w:cs="Arial"/>
        </w:rPr>
        <w:t xml:space="preserve"> v katastrálním území </w:t>
      </w:r>
      <w:r w:rsidRPr="00AF2E50">
        <w:rPr>
          <w:rFonts w:ascii="Arial" w:hAnsi="Arial" w:cs="Arial"/>
          <w:bCs/>
        </w:rPr>
        <w:t>Chomutov I a Chomutov II</w:t>
      </w:r>
      <w:r w:rsidRPr="00AF2E50">
        <w:rPr>
          <w:rFonts w:ascii="Arial" w:hAnsi="Arial" w:cs="Arial"/>
        </w:rPr>
        <w:t xml:space="preserve"> do vlastnictví města </w:t>
      </w:r>
      <w:r>
        <w:rPr>
          <w:rFonts w:ascii="Arial" w:hAnsi="Arial" w:cs="Arial"/>
        </w:rPr>
        <w:t>Chomutova (Ústecký kraj)</w:t>
      </w:r>
      <w:r w:rsidRPr="00AF2E50">
        <w:rPr>
          <w:rFonts w:ascii="Arial" w:hAnsi="Arial" w:cs="Arial"/>
        </w:rPr>
        <w:t xml:space="preserve">. </w:t>
      </w:r>
      <w:r w:rsidRPr="00AF2E50">
        <w:rPr>
          <w:rFonts w:ascii="Arial" w:hAnsi="Arial" w:cs="Arial"/>
          <w:bCs/>
        </w:rPr>
        <w:t>Převáděné pozemky jsou situovány</w:t>
      </w:r>
      <w:r w:rsidRPr="00395B5E">
        <w:rPr>
          <w:rFonts w:ascii="Arial" w:hAnsi="Arial" w:cs="Arial"/>
          <w:bCs/>
        </w:rPr>
        <w:t xml:space="preserve"> </w:t>
      </w:r>
      <w:r w:rsidRPr="00AF2E50">
        <w:rPr>
          <w:rFonts w:ascii="Arial" w:hAnsi="Arial" w:cs="Arial"/>
          <w:bCs/>
        </w:rPr>
        <w:t xml:space="preserve">pod veřejnými komunikacemi v zastavěné části </w:t>
      </w:r>
      <w:r>
        <w:rPr>
          <w:rFonts w:ascii="Arial" w:hAnsi="Arial" w:cs="Arial"/>
          <w:bCs/>
        </w:rPr>
        <w:t>Chomutova, pod</w:t>
      </w:r>
      <w:r w:rsidRPr="00AF2E50">
        <w:rPr>
          <w:rFonts w:ascii="Arial" w:hAnsi="Arial" w:cs="Arial"/>
          <w:bCs/>
        </w:rPr>
        <w:t xml:space="preserve"> parkovištěm ve vlastnictví města a dále se jedná o pozemky, které zastávají funkci veřejné zeleně.</w:t>
      </w:r>
    </w:p>
    <w:p w:rsidR="003E39E8" w:rsidRPr="00AF2E50" w:rsidRDefault="003E39E8" w:rsidP="003E39E8">
      <w:pPr>
        <w:spacing w:before="120"/>
        <w:jc w:val="both"/>
        <w:rPr>
          <w:rFonts w:ascii="Arial" w:hAnsi="Arial" w:cs="Arial"/>
        </w:rPr>
      </w:pPr>
      <w:r w:rsidRPr="00AF2E50">
        <w:rPr>
          <w:rFonts w:ascii="Arial" w:hAnsi="Arial" w:cs="Arial"/>
          <w:bCs/>
        </w:rPr>
        <w:t>Protože pozemky vyžadují zvýšené náklady na údržbu a opravy, dojde jejich převodem k významné finanční úspoře.</w:t>
      </w:r>
    </w:p>
    <w:p w:rsidR="003E39E8" w:rsidRPr="00AF2E50" w:rsidRDefault="003E39E8" w:rsidP="003E39E8">
      <w:pPr>
        <w:spacing w:before="120"/>
        <w:jc w:val="both"/>
        <w:rPr>
          <w:rFonts w:ascii="Arial" w:hAnsi="Arial" w:cs="Arial"/>
        </w:rPr>
      </w:pPr>
      <w:r w:rsidRPr="00AF2E50">
        <w:rPr>
          <w:rFonts w:ascii="Arial" w:hAnsi="Arial" w:cs="Arial"/>
        </w:rPr>
        <w:t xml:space="preserve">Převod majetku, o který územně samosprávný celek požádal, nebude mít dopad na státní rozpočet ani na rozpočet Ministerstva průmyslu a obchodu, neboť státní podnik je podle příslušných ustanovení zákona o státním podniku právnickou osobou provozující podnikatelskou činnost s majetkem státu vlastním jménem a na vlastní odpovědnost. </w:t>
      </w: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Default="003E39E8" w:rsidP="003E39E8">
      <w:pPr>
        <w:spacing w:before="120"/>
        <w:jc w:val="both"/>
      </w:pPr>
    </w:p>
    <w:p w:rsidR="003E39E8" w:rsidRPr="00540F7C" w:rsidRDefault="003E39E8" w:rsidP="003E39E8">
      <w:pPr>
        <w:pStyle w:val="Zkladntext"/>
        <w:spacing w:before="240" w:after="600"/>
        <w:jc w:val="center"/>
        <w:rPr>
          <w:b/>
          <w:bCs/>
          <w:szCs w:val="22"/>
        </w:rPr>
      </w:pPr>
      <w:r w:rsidRPr="00540F7C">
        <w:rPr>
          <w:b/>
          <w:caps/>
          <w:szCs w:val="22"/>
        </w:rPr>
        <w:t>Vypořádání připomínek k materiálu s názvem:</w:t>
      </w:r>
    </w:p>
    <w:p w:rsidR="003E39E8" w:rsidRPr="00B77102" w:rsidRDefault="003E39E8" w:rsidP="003E39E8">
      <w:pPr>
        <w:spacing w:before="240" w:after="240"/>
        <w:jc w:val="center"/>
        <w:rPr>
          <w:b/>
        </w:rPr>
      </w:pPr>
      <w:r w:rsidRPr="00722BAA">
        <w:rPr>
          <w:b/>
          <w:bCs/>
        </w:rPr>
        <w:t>Bezúplatný převod nepotřebného majetku státu</w:t>
      </w:r>
      <w:r>
        <w:rPr>
          <w:b/>
          <w:bCs/>
        </w:rPr>
        <w:t>,</w:t>
      </w:r>
      <w:r w:rsidRPr="00722BAA">
        <w:rPr>
          <w:b/>
          <w:bCs/>
        </w:rPr>
        <w:t xml:space="preserve"> s nímž má právo hospodařit Palivový kombinát Ústí, státní podnik, do vlastnictví Statutárního města Chomutova dle ustanovení § 16 odst. 9 zákona č. 77/1997 Sb., o státním podniku ve znění pozdějších předpisů</w:t>
      </w:r>
    </w:p>
    <w:p w:rsidR="003E39E8" w:rsidRPr="00B77102" w:rsidRDefault="003E39E8" w:rsidP="003E39E8">
      <w:pPr>
        <w:spacing w:before="240" w:after="240"/>
        <w:jc w:val="both"/>
      </w:pPr>
      <w:r w:rsidRPr="00B77102">
        <w:t xml:space="preserve">Dle Jednacího řádu vlády byl materiál rozeslán do meziresortního připomínkového řízení dopisem </w:t>
      </w:r>
      <w:r>
        <w:rPr>
          <w:bCs/>
        </w:rPr>
        <w:t>ministra průmyslu a obchodu d</w:t>
      </w:r>
      <w:r w:rsidRPr="00B77102">
        <w:t xml:space="preserve">ne </w:t>
      </w:r>
      <w:r>
        <w:t>16. července 2015</w:t>
      </w:r>
      <w:r w:rsidRPr="00B77102">
        <w:t>, s termínem dodání stanovisek do</w:t>
      </w:r>
      <w:r>
        <w:t xml:space="preserve"> 30. července 2015.</w:t>
      </w:r>
      <w:r w:rsidRPr="00B77102">
        <w:t xml:space="preserve"> Vyhodnocení tohoto řízení je uvedeno v následující tabulce: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977"/>
      </w:tblGrid>
      <w:tr w:rsidR="003E39E8" w:rsidRPr="00B77102" w:rsidTr="000B266E">
        <w:trPr>
          <w:trHeight w:val="340"/>
        </w:trPr>
        <w:tc>
          <w:tcPr>
            <w:tcW w:w="1526" w:type="dxa"/>
            <w:shd w:val="clear" w:color="auto" w:fill="auto"/>
          </w:tcPr>
          <w:p w:rsidR="003E39E8" w:rsidRPr="00B77102" w:rsidRDefault="003E39E8" w:rsidP="000B266E">
            <w:r w:rsidRPr="00B77102">
              <w:rPr>
                <w:b/>
                <w:bCs/>
              </w:rPr>
              <w:t>Resort</w:t>
            </w:r>
          </w:p>
        </w:tc>
        <w:tc>
          <w:tcPr>
            <w:tcW w:w="4961" w:type="dxa"/>
            <w:shd w:val="clear" w:color="auto" w:fill="auto"/>
          </w:tcPr>
          <w:p w:rsidR="003E39E8" w:rsidRPr="00B77102" w:rsidRDefault="003E39E8" w:rsidP="000B266E">
            <w:r w:rsidRPr="00B77102">
              <w:rPr>
                <w:b/>
                <w:bCs/>
              </w:rPr>
              <w:t>Připomínky</w:t>
            </w:r>
          </w:p>
        </w:tc>
        <w:tc>
          <w:tcPr>
            <w:tcW w:w="2977" w:type="dxa"/>
            <w:shd w:val="clear" w:color="auto" w:fill="auto"/>
          </w:tcPr>
          <w:p w:rsidR="003E39E8" w:rsidRPr="00B77102" w:rsidRDefault="003E39E8" w:rsidP="000B266E">
            <w:r w:rsidRPr="00B77102">
              <w:rPr>
                <w:b/>
                <w:bCs/>
              </w:rPr>
              <w:t>Vypořádání</w:t>
            </w:r>
          </w:p>
        </w:tc>
      </w:tr>
      <w:tr w:rsidR="003E39E8" w:rsidRPr="00B77102" w:rsidTr="000B266E">
        <w:trPr>
          <w:trHeight w:val="340"/>
        </w:trPr>
        <w:tc>
          <w:tcPr>
            <w:tcW w:w="1526" w:type="dxa"/>
            <w:tcBorders>
              <w:top w:val="single" w:sz="4" w:space="0" w:color="auto"/>
              <w:left w:val="single" w:sz="4" w:space="0" w:color="auto"/>
              <w:right w:val="single" w:sz="4" w:space="0" w:color="auto"/>
            </w:tcBorders>
            <w:shd w:val="clear" w:color="auto" w:fill="auto"/>
          </w:tcPr>
          <w:p w:rsidR="003E39E8" w:rsidRPr="009056DD" w:rsidRDefault="003E39E8" w:rsidP="000B266E">
            <w:r>
              <w:rPr>
                <w:b/>
                <w:bCs/>
              </w:rPr>
              <w:t>Ministerstvo financí</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39E8" w:rsidRDefault="003E39E8" w:rsidP="000B266E">
            <w:pPr>
              <w:jc w:val="both"/>
            </w:pPr>
            <w:r w:rsidRPr="0086172B">
              <w:t>K předmětnému materiálu uplatňujeme následující</w:t>
            </w:r>
            <w:r>
              <w:t xml:space="preserve"> </w:t>
            </w:r>
            <w:r w:rsidRPr="005161FD">
              <w:rPr>
                <w:b/>
              </w:rPr>
              <w:t>zásadní</w:t>
            </w:r>
            <w:r>
              <w:t xml:space="preserve"> připomínku</w:t>
            </w:r>
            <w:r w:rsidRPr="0086172B">
              <w:t>:</w:t>
            </w:r>
          </w:p>
          <w:p w:rsidR="003E39E8" w:rsidRPr="00143EED" w:rsidRDefault="003E39E8" w:rsidP="000B266E">
            <w:pPr>
              <w:pStyle w:val="Popisky"/>
              <w:rPr>
                <w:rFonts w:ascii="Times New Roman" w:hAnsi="Times New Roman"/>
                <w:b/>
                <w:sz w:val="24"/>
              </w:rPr>
            </w:pPr>
          </w:p>
          <w:p w:rsidR="003E39E8" w:rsidRDefault="003E39E8" w:rsidP="003E39E8">
            <w:pPr>
              <w:numPr>
                <w:ilvl w:val="0"/>
                <w:numId w:val="3"/>
              </w:numPr>
              <w:jc w:val="both"/>
            </w:pPr>
            <w:r>
              <w:t xml:space="preserve">S ohledem na charakter předmětného majetku (6 pozemků - pozemky pod veřejnými komunikacemi a parkovištěm ve vlastnictví města a pozemky, které plní funkci veřejné zeleně) neuplatňujeme proti jeho navrženému bezúplatnému převodu do vlastnictví Statutárního města Chomutov námitky. </w:t>
            </w:r>
          </w:p>
          <w:p w:rsidR="003E39E8" w:rsidRPr="005161FD" w:rsidRDefault="003E39E8" w:rsidP="000B266E">
            <w:pPr>
              <w:tabs>
                <w:tab w:val="left" w:pos="709"/>
              </w:tabs>
              <w:jc w:val="both"/>
              <w:rPr>
                <w:b/>
              </w:rPr>
            </w:pPr>
          </w:p>
          <w:p w:rsidR="003E39E8" w:rsidRDefault="003E39E8" w:rsidP="000B266E">
            <w:pPr>
              <w:ind w:left="709"/>
              <w:jc w:val="both"/>
            </w:pPr>
            <w:r>
              <w:t>Uplatňujeme však následující zásadní připomínku:</w:t>
            </w:r>
          </w:p>
          <w:p w:rsidR="003E39E8" w:rsidRDefault="003E39E8" w:rsidP="000B266E">
            <w:pPr>
              <w:ind w:left="709"/>
              <w:jc w:val="both"/>
            </w:pPr>
          </w:p>
          <w:p w:rsidR="003E39E8" w:rsidRDefault="003E39E8" w:rsidP="000B266E">
            <w:pPr>
              <w:ind w:left="709"/>
              <w:jc w:val="both"/>
            </w:pPr>
            <w:r>
              <w:t xml:space="preserve">Vzhledem ke skutečnosti, že veškerý majetek podniku Palivový kombinát Ústí, s. p., byl usnesením vlády č. 242/1992 zařazen do privatizace v režimu zákona č. 92/1991 Sb., o podmínkách převodu majetku státu na jiné osoby, ve znění pozdějších předpisů, považujeme za nezbytné, aby vláda ve svém nynějším usnesení vyjádřila nejdříve vůli majetek, který je zahrnutý do předkládaného materiálu, dle zákona č. 92/1991 Sb. neprivatizovat, a že je z režimu tohoto zákona vyjímán. </w:t>
            </w:r>
          </w:p>
          <w:p w:rsidR="003E39E8" w:rsidRPr="00567BA2" w:rsidRDefault="003E39E8" w:rsidP="000B266E">
            <w:pPr>
              <w:rPr>
                <w:i/>
              </w:rPr>
            </w:pPr>
          </w:p>
          <w:p w:rsidR="003E39E8" w:rsidRPr="005A5A03" w:rsidRDefault="003E39E8" w:rsidP="000B266E">
            <w:pPr>
              <w:jc w:val="both"/>
            </w:pPr>
          </w:p>
        </w:tc>
        <w:tc>
          <w:tcPr>
            <w:tcW w:w="2977" w:type="dxa"/>
            <w:tcBorders>
              <w:top w:val="single" w:sz="4" w:space="0" w:color="auto"/>
              <w:left w:val="single" w:sz="4" w:space="0" w:color="auto"/>
              <w:right w:val="single" w:sz="4" w:space="0" w:color="auto"/>
            </w:tcBorders>
            <w:shd w:val="clear" w:color="auto" w:fill="auto"/>
          </w:tcPr>
          <w:p w:rsidR="003E39E8" w:rsidRPr="005A5A03" w:rsidRDefault="003E39E8" w:rsidP="000B266E">
            <w:pPr>
              <w:jc w:val="both"/>
            </w:pPr>
            <w:r>
              <w:rPr>
                <w:bCs/>
              </w:rPr>
              <w:t>Vláda svým usnesením č. 713 ze dne 27. července 2007 schválila v souladu s § 5 odst. 1 zákona č. 92/1991 Sb., o podmínkách převodu majetku státu na jiné osoby, ve znění pozdějších předpisů, vyjmutí podniku Palivový kombinát Ústí, státní podnik z privatizace.</w:t>
            </w:r>
          </w:p>
        </w:tc>
      </w:tr>
    </w:tbl>
    <w:p w:rsidR="00273523" w:rsidRPr="003E39E8" w:rsidRDefault="00273523" w:rsidP="003E39E8"/>
    <w:sectPr w:rsidR="00273523" w:rsidRPr="003E39E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B6"/>
    <w:multiLevelType w:val="hybridMultilevel"/>
    <w:tmpl w:val="491ACC82"/>
    <w:lvl w:ilvl="0" w:tplc="42062E38">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F826C7"/>
    <w:multiLevelType w:val="hybridMultilevel"/>
    <w:tmpl w:val="F8B4A2DC"/>
    <w:lvl w:ilvl="0" w:tplc="777C46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E8"/>
    <w:rsid w:val="00273523"/>
    <w:rsid w:val="003A65D8"/>
    <w:rsid w:val="003E39E8"/>
    <w:rsid w:val="00FB3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D3DF91-4096-4A1D-A262-ED152527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39E8"/>
    <w:rPr>
      <w:rFonts w:ascii="Calibri" w:hAnsi="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I">
    <w:name w:val="Styl1 - I."/>
    <w:basedOn w:val="Normln"/>
    <w:link w:val="Styl1-IChar"/>
    <w:qFormat/>
    <w:rsid w:val="003E39E8"/>
    <w:pPr>
      <w:numPr>
        <w:numId w:val="1"/>
      </w:numPr>
      <w:overflowPunct w:val="0"/>
      <w:autoSpaceDE w:val="0"/>
      <w:autoSpaceDN w:val="0"/>
      <w:adjustRightInd w:val="0"/>
      <w:spacing w:before="120" w:after="240"/>
      <w:ind w:left="357" w:hanging="357"/>
      <w:jc w:val="both"/>
      <w:textAlignment w:val="baseline"/>
    </w:pPr>
    <w:rPr>
      <w:rFonts w:ascii="Arial" w:hAnsi="Arial" w:cs="Arial"/>
    </w:rPr>
  </w:style>
  <w:style w:type="character" w:customStyle="1" w:styleId="Styl1-IChar">
    <w:name w:val="Styl1 - I. Char"/>
    <w:link w:val="Styl1-I"/>
    <w:rsid w:val="003E39E8"/>
    <w:rPr>
      <w:rFonts w:ascii="Arial" w:hAnsi="Arial" w:cs="Arial"/>
      <w:sz w:val="22"/>
      <w:szCs w:val="22"/>
    </w:rPr>
  </w:style>
  <w:style w:type="paragraph" w:styleId="Zkladntext">
    <w:name w:val="Body Text"/>
    <w:basedOn w:val="Normln"/>
    <w:link w:val="ZkladntextChar"/>
    <w:rsid w:val="003E39E8"/>
    <w:pPr>
      <w:suppressAutoHyphens/>
      <w:spacing w:line="360" w:lineRule="auto"/>
      <w:jc w:val="both"/>
    </w:pPr>
    <w:rPr>
      <w:rFonts w:ascii="Arial" w:hAnsi="Arial"/>
      <w:sz w:val="24"/>
      <w:szCs w:val="20"/>
      <w:lang w:eastAsia="ar-SA"/>
    </w:rPr>
  </w:style>
  <w:style w:type="character" w:customStyle="1" w:styleId="ZkladntextChar">
    <w:name w:val="Základní text Char"/>
    <w:basedOn w:val="Standardnpsmoodstavce"/>
    <w:link w:val="Zkladntext"/>
    <w:rsid w:val="003E39E8"/>
    <w:rPr>
      <w:rFonts w:ascii="Arial" w:hAnsi="Arial"/>
      <w:sz w:val="24"/>
      <w:lang w:eastAsia="ar-SA"/>
    </w:rPr>
  </w:style>
  <w:style w:type="paragraph" w:customStyle="1" w:styleId="Popisky">
    <w:name w:val="Popisky"/>
    <w:uiPriority w:val="99"/>
    <w:rsid w:val="003E39E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40912999.dotm</Template>
  <TotalTime>2</TotalTime>
  <Pages>6</Pages>
  <Words>1399</Words>
  <Characters>8259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Smolová Iva</dc:creator>
  <cp:keywords/>
  <dc:description/>
  <cp:lastModifiedBy>Smolová Iva</cp:lastModifiedBy>
  <cp:revision>1</cp:revision>
  <dcterms:created xsi:type="dcterms:W3CDTF">2015-11-06T12:43:00Z</dcterms:created>
  <dcterms:modified xsi:type="dcterms:W3CDTF">2015-11-06T12:45:00Z</dcterms:modified>
</cp:coreProperties>
</file>