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0E" w:rsidRDefault="0007030E" w:rsidP="0007030E">
      <w:pPr>
        <w:pStyle w:val="Popisky"/>
        <w:spacing w:before="20" w:after="20"/>
        <w:jc w:val="both"/>
        <w:rPr>
          <w:rFonts w:ascii="Times New Roman" w:hAnsi="Times New Roman"/>
          <w:b/>
          <w:sz w:val="24"/>
        </w:rPr>
      </w:pPr>
      <w:bookmarkStart w:id="0" w:name="_GoBack"/>
      <w:bookmarkEnd w:id="0"/>
      <w:r>
        <w:rPr>
          <w:rFonts w:ascii="Times New Roman" w:hAnsi="Times New Roman"/>
          <w:b/>
          <w:sz w:val="24"/>
        </w:rPr>
        <w:t>Analýza daňových příjmů obcí a krajů za první čtyři měsíce roku 2015</w:t>
      </w:r>
    </w:p>
    <w:p w:rsidR="0007030E" w:rsidRDefault="0007030E" w:rsidP="0007030E">
      <w:pPr>
        <w:pStyle w:val="Popisky"/>
        <w:spacing w:before="20" w:after="20"/>
        <w:jc w:val="both"/>
        <w:rPr>
          <w:rFonts w:ascii="Times New Roman" w:hAnsi="Times New Roman"/>
          <w:sz w:val="24"/>
        </w:rPr>
      </w:pPr>
    </w:p>
    <w:p w:rsidR="0007030E" w:rsidRDefault="00851C2A" w:rsidP="0007030E">
      <w:pPr>
        <w:pStyle w:val="Popisky"/>
        <w:spacing w:before="20" w:after="20"/>
        <w:ind w:firstLine="708"/>
        <w:jc w:val="both"/>
        <w:rPr>
          <w:rFonts w:ascii="Times New Roman" w:hAnsi="Times New Roman"/>
          <w:sz w:val="24"/>
        </w:rPr>
      </w:pPr>
      <w:r>
        <w:rPr>
          <w:rFonts w:ascii="Times New Roman" w:hAnsi="Times New Roman"/>
          <w:sz w:val="24"/>
        </w:rPr>
        <w:t>Níže uvedená</w:t>
      </w:r>
      <w:r w:rsidR="0007030E">
        <w:rPr>
          <w:rFonts w:ascii="Times New Roman" w:hAnsi="Times New Roman"/>
          <w:sz w:val="24"/>
        </w:rPr>
        <w:t xml:space="preserve"> tabulka zobrazuje meziroční srovnání inkasa sdílených daní za první čtyři měsíce roku náležející do rozpočtů obcí a krajů dle platného rozpočtového určení daní. Všechny hodnoty inkas v následujícím textu se vztahují pouze k daňovým inkasům na úrovni obcí a krajů.</w:t>
      </w:r>
    </w:p>
    <w:p w:rsidR="0007030E" w:rsidRDefault="0007030E" w:rsidP="0007030E">
      <w:pPr>
        <w:pStyle w:val="Popisky"/>
        <w:spacing w:before="20" w:after="20"/>
        <w:ind w:firstLine="708"/>
        <w:jc w:val="both"/>
        <w:rPr>
          <w:rFonts w:ascii="Times New Roman" w:hAnsi="Times New Roman"/>
          <w:sz w:val="24"/>
        </w:rPr>
      </w:pPr>
    </w:p>
    <w:p w:rsidR="0007030E" w:rsidRDefault="0007030E" w:rsidP="0007030E">
      <w:pPr>
        <w:pStyle w:val="Popisky"/>
        <w:spacing w:before="20" w:after="20"/>
        <w:ind w:firstLine="708"/>
        <w:jc w:val="both"/>
        <w:rPr>
          <w:rFonts w:ascii="Times New Roman" w:hAnsi="Times New Roman"/>
          <w:sz w:val="24"/>
        </w:rPr>
      </w:pPr>
      <w:r>
        <w:rPr>
          <w:rFonts w:ascii="Times New Roman" w:hAnsi="Times New Roman"/>
          <w:sz w:val="24"/>
        </w:rPr>
        <w:t>Z tabulky je patrné, že inkaso ze sdílených daní, které náleží obcím a krajům, je aktuálně nižší o 3,2 mld. Kč.</w:t>
      </w:r>
    </w:p>
    <w:p w:rsidR="009E08D3" w:rsidRDefault="009E08D3" w:rsidP="0007030E">
      <w:pPr>
        <w:pStyle w:val="Popisky"/>
        <w:spacing w:before="20" w:after="20"/>
        <w:ind w:firstLine="708"/>
        <w:jc w:val="both"/>
        <w:rPr>
          <w:rFonts w:ascii="Times New Roman" w:hAnsi="Times New Roman"/>
          <w:sz w:val="24"/>
        </w:rPr>
      </w:pPr>
    </w:p>
    <w:tbl>
      <w:tblPr>
        <w:tblW w:w="5000" w:type="pct"/>
        <w:tblCellMar>
          <w:left w:w="70" w:type="dxa"/>
          <w:right w:w="70" w:type="dxa"/>
        </w:tblCellMar>
        <w:tblLook w:val="04A0" w:firstRow="1" w:lastRow="0" w:firstColumn="1" w:lastColumn="0" w:noHBand="0" w:noVBand="1"/>
      </w:tblPr>
      <w:tblGrid>
        <w:gridCol w:w="1288"/>
        <w:gridCol w:w="2343"/>
        <w:gridCol w:w="641"/>
        <w:gridCol w:w="641"/>
        <w:gridCol w:w="776"/>
        <w:gridCol w:w="776"/>
        <w:gridCol w:w="643"/>
        <w:gridCol w:w="776"/>
        <w:gridCol w:w="1328"/>
      </w:tblGrid>
      <w:tr w:rsidR="0007030E" w:rsidTr="00D433B7">
        <w:trPr>
          <w:trHeight w:val="315"/>
        </w:trPr>
        <w:tc>
          <w:tcPr>
            <w:tcW w:w="1971" w:type="pct"/>
            <w:gridSpan w:val="2"/>
            <w:vMerge w:val="restart"/>
            <w:tcBorders>
              <w:top w:val="single" w:sz="8" w:space="0" w:color="auto"/>
              <w:left w:val="single" w:sz="8" w:space="0" w:color="auto"/>
              <w:bottom w:val="single" w:sz="8" w:space="0" w:color="000000"/>
              <w:right w:val="single" w:sz="8" w:space="0" w:color="000000"/>
            </w:tcBorders>
            <w:noWrap/>
            <w:vAlign w:val="center"/>
            <w:hideMark/>
          </w:tcPr>
          <w:p w:rsidR="0007030E" w:rsidRDefault="0007030E">
            <w:pPr>
              <w:rPr>
                <w:rFonts w:ascii="Arial" w:hAnsi="Arial" w:cs="Arial"/>
                <w:b/>
                <w:bCs/>
                <w:color w:val="000000"/>
              </w:rPr>
            </w:pPr>
            <w:r>
              <w:rPr>
                <w:rFonts w:ascii="Arial" w:hAnsi="Arial" w:cs="Arial"/>
                <w:b/>
                <w:bCs/>
                <w:color w:val="000000"/>
              </w:rPr>
              <w:t>Daňový příjem obcí a krajů v mld. Kč</w:t>
            </w:r>
          </w:p>
        </w:tc>
        <w:tc>
          <w:tcPr>
            <w:tcW w:w="1117" w:type="pct"/>
            <w:gridSpan w:val="3"/>
            <w:tcBorders>
              <w:top w:val="single" w:sz="8" w:space="0" w:color="auto"/>
              <w:left w:val="nil"/>
              <w:bottom w:val="single" w:sz="8" w:space="0" w:color="auto"/>
              <w:right w:val="single" w:sz="8" w:space="0" w:color="000000"/>
            </w:tcBorders>
            <w:shd w:val="clear" w:color="auto" w:fill="FFFF99"/>
            <w:noWrap/>
            <w:vAlign w:val="center"/>
            <w:hideMark/>
          </w:tcPr>
          <w:p w:rsidR="0007030E" w:rsidRDefault="00851C2A">
            <w:pPr>
              <w:jc w:val="center"/>
              <w:rPr>
                <w:rFonts w:ascii="Arial" w:hAnsi="Arial" w:cs="Arial"/>
                <w:b/>
                <w:bCs/>
                <w:color w:val="000000"/>
              </w:rPr>
            </w:pPr>
            <w:r>
              <w:rPr>
                <w:rFonts w:ascii="Arial" w:hAnsi="Arial" w:cs="Arial"/>
                <w:b/>
                <w:bCs/>
                <w:color w:val="000000"/>
              </w:rPr>
              <w:t>Leden-d</w:t>
            </w:r>
            <w:r w:rsidR="0007030E">
              <w:rPr>
                <w:rFonts w:ascii="Arial" w:hAnsi="Arial" w:cs="Arial"/>
                <w:b/>
                <w:bCs/>
                <w:color w:val="000000"/>
              </w:rPr>
              <w:t>uben 2014</w:t>
            </w:r>
          </w:p>
        </w:tc>
        <w:tc>
          <w:tcPr>
            <w:tcW w:w="1190" w:type="pct"/>
            <w:gridSpan w:val="3"/>
            <w:tcBorders>
              <w:top w:val="single" w:sz="8" w:space="0" w:color="auto"/>
              <w:left w:val="nil"/>
              <w:bottom w:val="nil"/>
              <w:right w:val="single" w:sz="8" w:space="0" w:color="000000"/>
            </w:tcBorders>
            <w:shd w:val="clear" w:color="auto" w:fill="FFFF99"/>
            <w:noWrap/>
            <w:vAlign w:val="center"/>
            <w:hideMark/>
          </w:tcPr>
          <w:p w:rsidR="0007030E" w:rsidRDefault="00851C2A">
            <w:pPr>
              <w:jc w:val="center"/>
              <w:rPr>
                <w:rFonts w:ascii="Arial" w:hAnsi="Arial" w:cs="Arial"/>
                <w:b/>
                <w:bCs/>
                <w:color w:val="000000"/>
              </w:rPr>
            </w:pPr>
            <w:r>
              <w:rPr>
                <w:rFonts w:ascii="Arial" w:hAnsi="Arial" w:cs="Arial"/>
                <w:b/>
                <w:bCs/>
                <w:color w:val="000000"/>
              </w:rPr>
              <w:t>Leden-d</w:t>
            </w:r>
            <w:r w:rsidR="0007030E">
              <w:rPr>
                <w:rFonts w:ascii="Arial" w:hAnsi="Arial" w:cs="Arial"/>
                <w:b/>
                <w:bCs/>
                <w:color w:val="000000"/>
              </w:rPr>
              <w:t>uben 2015</w:t>
            </w:r>
          </w:p>
        </w:tc>
        <w:tc>
          <w:tcPr>
            <w:tcW w:w="722" w:type="pct"/>
            <w:vMerge w:val="restart"/>
            <w:tcBorders>
              <w:top w:val="single" w:sz="8" w:space="0" w:color="auto"/>
              <w:left w:val="single" w:sz="8" w:space="0" w:color="auto"/>
              <w:bottom w:val="single" w:sz="8" w:space="0" w:color="000000"/>
              <w:right w:val="single" w:sz="8" w:space="0" w:color="auto"/>
            </w:tcBorders>
            <w:vAlign w:val="center"/>
            <w:hideMark/>
          </w:tcPr>
          <w:p w:rsidR="0007030E" w:rsidRDefault="00A735B0">
            <w:pPr>
              <w:jc w:val="center"/>
              <w:rPr>
                <w:rFonts w:ascii="Arial" w:hAnsi="Arial" w:cs="Arial"/>
                <w:color w:val="000000"/>
              </w:rPr>
            </w:pPr>
            <w:r>
              <w:rPr>
                <w:rFonts w:ascii="Arial" w:hAnsi="Arial" w:cs="Arial"/>
                <w:b/>
                <w:bCs/>
                <w:color w:val="000000"/>
              </w:rPr>
              <w:t>rozdíl        (2015</w:t>
            </w:r>
            <w:r w:rsidR="00FE62D6">
              <w:rPr>
                <w:rFonts w:ascii="Arial" w:hAnsi="Arial" w:cs="Arial"/>
                <w:b/>
                <w:bCs/>
                <w:color w:val="000000"/>
              </w:rPr>
              <w:t>-</w:t>
            </w:r>
            <w:r w:rsidR="0007030E">
              <w:rPr>
                <w:rFonts w:ascii="Arial" w:hAnsi="Arial" w:cs="Arial"/>
                <w:b/>
                <w:bCs/>
                <w:color w:val="000000"/>
              </w:rPr>
              <w:t>2014)</w:t>
            </w:r>
          </w:p>
        </w:tc>
      </w:tr>
      <w:tr w:rsidR="0007030E" w:rsidTr="00D433B7">
        <w:trPr>
          <w:trHeight w:val="315"/>
        </w:trPr>
        <w:tc>
          <w:tcPr>
            <w:tcW w:w="1971" w:type="pct"/>
            <w:gridSpan w:val="2"/>
            <w:vMerge/>
            <w:tcBorders>
              <w:top w:val="single" w:sz="8" w:space="0" w:color="auto"/>
              <w:left w:val="single" w:sz="8" w:space="0" w:color="auto"/>
              <w:bottom w:val="single" w:sz="8" w:space="0" w:color="000000"/>
              <w:right w:val="single" w:sz="8" w:space="0" w:color="000000"/>
            </w:tcBorders>
            <w:vAlign w:val="center"/>
            <w:hideMark/>
          </w:tcPr>
          <w:p w:rsidR="0007030E" w:rsidRDefault="0007030E">
            <w:pPr>
              <w:rPr>
                <w:rFonts w:ascii="Arial" w:hAnsi="Arial" w:cs="Arial"/>
                <w:b/>
                <w:bCs/>
                <w:color w:val="000000"/>
              </w:rPr>
            </w:pPr>
          </w:p>
        </w:tc>
        <w:tc>
          <w:tcPr>
            <w:tcW w:w="348" w:type="pct"/>
            <w:tcBorders>
              <w:top w:val="nil"/>
              <w:left w:val="nil"/>
              <w:bottom w:val="single" w:sz="8" w:space="0" w:color="auto"/>
              <w:right w:val="single" w:sz="8" w:space="0" w:color="auto"/>
            </w:tcBorders>
            <w:noWrap/>
            <w:vAlign w:val="center"/>
            <w:hideMark/>
          </w:tcPr>
          <w:p w:rsidR="0007030E" w:rsidRDefault="0007030E">
            <w:pPr>
              <w:jc w:val="center"/>
              <w:rPr>
                <w:rFonts w:ascii="Arial" w:hAnsi="Arial" w:cs="Arial"/>
                <w:color w:val="000000"/>
              </w:rPr>
            </w:pPr>
            <w:r>
              <w:rPr>
                <w:rFonts w:ascii="Arial" w:hAnsi="Arial" w:cs="Arial"/>
                <w:color w:val="000000"/>
              </w:rPr>
              <w:t>obce</w:t>
            </w:r>
          </w:p>
        </w:tc>
        <w:tc>
          <w:tcPr>
            <w:tcW w:w="348" w:type="pct"/>
            <w:tcBorders>
              <w:top w:val="nil"/>
              <w:left w:val="nil"/>
              <w:bottom w:val="single" w:sz="8" w:space="0" w:color="auto"/>
              <w:right w:val="single" w:sz="8" w:space="0" w:color="auto"/>
            </w:tcBorders>
            <w:noWrap/>
            <w:vAlign w:val="center"/>
            <w:hideMark/>
          </w:tcPr>
          <w:p w:rsidR="0007030E" w:rsidRDefault="0007030E">
            <w:pPr>
              <w:jc w:val="center"/>
              <w:rPr>
                <w:rFonts w:ascii="Arial" w:hAnsi="Arial" w:cs="Arial"/>
                <w:color w:val="000000"/>
              </w:rPr>
            </w:pPr>
            <w:r>
              <w:rPr>
                <w:rFonts w:ascii="Arial" w:hAnsi="Arial" w:cs="Arial"/>
                <w:color w:val="000000"/>
              </w:rPr>
              <w:t>kraje</w:t>
            </w:r>
          </w:p>
        </w:tc>
        <w:tc>
          <w:tcPr>
            <w:tcW w:w="420" w:type="pct"/>
            <w:tcBorders>
              <w:top w:val="nil"/>
              <w:left w:val="nil"/>
              <w:bottom w:val="single" w:sz="8" w:space="0" w:color="auto"/>
              <w:right w:val="single" w:sz="8" w:space="0" w:color="auto"/>
            </w:tcBorders>
            <w:noWrap/>
            <w:vAlign w:val="center"/>
            <w:hideMark/>
          </w:tcPr>
          <w:p w:rsidR="0007030E" w:rsidRDefault="0007030E">
            <w:pPr>
              <w:jc w:val="center"/>
              <w:rPr>
                <w:rFonts w:ascii="Arial" w:hAnsi="Arial" w:cs="Arial"/>
                <w:color w:val="000000"/>
              </w:rPr>
            </w:pPr>
            <w:r>
              <w:rPr>
                <w:rFonts w:ascii="Arial" w:hAnsi="Arial" w:cs="Arial"/>
                <w:color w:val="000000"/>
              </w:rPr>
              <w:t>celkem</w:t>
            </w:r>
          </w:p>
        </w:tc>
        <w:tc>
          <w:tcPr>
            <w:tcW w:w="421" w:type="pct"/>
            <w:tcBorders>
              <w:top w:val="single" w:sz="8" w:space="0" w:color="auto"/>
              <w:left w:val="nil"/>
              <w:bottom w:val="single" w:sz="8" w:space="0" w:color="auto"/>
              <w:right w:val="single" w:sz="4" w:space="0" w:color="auto"/>
            </w:tcBorders>
            <w:noWrap/>
            <w:vAlign w:val="center"/>
            <w:hideMark/>
          </w:tcPr>
          <w:p w:rsidR="0007030E" w:rsidRDefault="0007030E">
            <w:pPr>
              <w:jc w:val="center"/>
              <w:rPr>
                <w:rFonts w:ascii="Arial" w:hAnsi="Arial" w:cs="Arial"/>
                <w:color w:val="000000"/>
              </w:rPr>
            </w:pPr>
            <w:r>
              <w:rPr>
                <w:rFonts w:ascii="Arial" w:hAnsi="Arial" w:cs="Arial"/>
                <w:color w:val="000000"/>
              </w:rPr>
              <w:t>obce</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07030E" w:rsidRDefault="0007030E">
            <w:pPr>
              <w:jc w:val="center"/>
              <w:rPr>
                <w:rFonts w:ascii="Arial" w:hAnsi="Arial" w:cs="Arial"/>
                <w:color w:val="000000"/>
              </w:rPr>
            </w:pPr>
            <w:r>
              <w:rPr>
                <w:rFonts w:ascii="Arial" w:hAnsi="Arial" w:cs="Arial"/>
                <w:color w:val="000000"/>
              </w:rPr>
              <w:t>kraje</w:t>
            </w:r>
          </w:p>
        </w:tc>
        <w:tc>
          <w:tcPr>
            <w:tcW w:w="421" w:type="pct"/>
            <w:tcBorders>
              <w:top w:val="single" w:sz="8" w:space="0" w:color="auto"/>
              <w:left w:val="single" w:sz="4" w:space="0" w:color="auto"/>
              <w:bottom w:val="single" w:sz="8" w:space="0" w:color="auto"/>
              <w:right w:val="single" w:sz="8" w:space="0" w:color="auto"/>
            </w:tcBorders>
            <w:noWrap/>
            <w:vAlign w:val="center"/>
            <w:hideMark/>
          </w:tcPr>
          <w:p w:rsidR="0007030E" w:rsidRDefault="0007030E">
            <w:pPr>
              <w:jc w:val="center"/>
              <w:rPr>
                <w:rFonts w:ascii="Arial" w:hAnsi="Arial" w:cs="Arial"/>
                <w:color w:val="000000"/>
              </w:rPr>
            </w:pPr>
            <w:r>
              <w:rPr>
                <w:rFonts w:ascii="Arial" w:hAnsi="Arial" w:cs="Arial"/>
                <w:color w:val="000000"/>
              </w:rPr>
              <w:t>celkem</w:t>
            </w:r>
          </w:p>
        </w:tc>
        <w:tc>
          <w:tcPr>
            <w:tcW w:w="722" w:type="pct"/>
            <w:vMerge/>
            <w:tcBorders>
              <w:top w:val="single" w:sz="8" w:space="0" w:color="auto"/>
              <w:left w:val="single" w:sz="8" w:space="0" w:color="auto"/>
              <w:bottom w:val="single" w:sz="8" w:space="0" w:color="000000"/>
              <w:right w:val="single" w:sz="8" w:space="0" w:color="auto"/>
            </w:tcBorders>
            <w:vAlign w:val="center"/>
            <w:hideMark/>
          </w:tcPr>
          <w:p w:rsidR="0007030E" w:rsidRDefault="0007030E">
            <w:pPr>
              <w:rPr>
                <w:rFonts w:ascii="Arial" w:hAnsi="Arial" w:cs="Arial"/>
                <w:color w:val="000000"/>
              </w:rPr>
            </w:pPr>
          </w:p>
        </w:tc>
      </w:tr>
      <w:tr w:rsidR="0007030E" w:rsidTr="00D433B7">
        <w:trPr>
          <w:trHeight w:val="300"/>
        </w:trPr>
        <w:tc>
          <w:tcPr>
            <w:tcW w:w="699" w:type="pct"/>
            <w:tcBorders>
              <w:top w:val="nil"/>
              <w:left w:val="single" w:sz="8" w:space="0" w:color="000000"/>
              <w:bottom w:val="nil"/>
              <w:right w:val="nil"/>
            </w:tcBorders>
            <w:noWrap/>
            <w:vAlign w:val="bottom"/>
            <w:hideMark/>
          </w:tcPr>
          <w:p w:rsidR="0007030E" w:rsidRPr="00FE62D6" w:rsidRDefault="0007030E">
            <w:pPr>
              <w:rPr>
                <w:rFonts w:ascii="Arial" w:hAnsi="Arial" w:cs="Arial"/>
                <w:color w:val="000000"/>
              </w:rPr>
            </w:pPr>
            <w:r w:rsidRPr="00FE62D6">
              <w:rPr>
                <w:rFonts w:ascii="Arial" w:hAnsi="Arial" w:cs="Arial"/>
                <w:color w:val="000000"/>
              </w:rPr>
              <w:t>DPH</w:t>
            </w:r>
          </w:p>
        </w:tc>
        <w:tc>
          <w:tcPr>
            <w:tcW w:w="1272" w:type="pct"/>
            <w:tcBorders>
              <w:top w:val="nil"/>
              <w:left w:val="nil"/>
              <w:bottom w:val="nil"/>
              <w:right w:val="single" w:sz="8" w:space="0" w:color="000000"/>
            </w:tcBorders>
            <w:noWrap/>
            <w:vAlign w:val="bottom"/>
            <w:hideMark/>
          </w:tcPr>
          <w:p w:rsidR="0007030E" w:rsidRDefault="0007030E">
            <w:pPr>
              <w:rPr>
                <w:rFonts w:ascii="Calibri" w:hAnsi="Calibri"/>
                <w:color w:val="000000"/>
                <w:sz w:val="22"/>
                <w:szCs w:val="22"/>
              </w:rPr>
            </w:pPr>
            <w:r>
              <w:rPr>
                <w:rFonts w:ascii="Calibri" w:hAnsi="Calibri"/>
                <w:color w:val="000000"/>
                <w:sz w:val="22"/>
                <w:szCs w:val="22"/>
              </w:rPr>
              <w:t> </w:t>
            </w:r>
          </w:p>
        </w:tc>
        <w:tc>
          <w:tcPr>
            <w:tcW w:w="348"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24,5</w:t>
            </w:r>
          </w:p>
        </w:tc>
        <w:tc>
          <w:tcPr>
            <w:tcW w:w="348" w:type="pct"/>
            <w:noWrap/>
            <w:vAlign w:val="center"/>
            <w:hideMark/>
          </w:tcPr>
          <w:p w:rsidR="0007030E" w:rsidRDefault="0007030E">
            <w:pPr>
              <w:jc w:val="right"/>
              <w:rPr>
                <w:rFonts w:ascii="Arial" w:hAnsi="Arial" w:cs="Arial"/>
                <w:b/>
                <w:bCs/>
                <w:color w:val="000000"/>
              </w:rPr>
            </w:pPr>
            <w:r>
              <w:rPr>
                <w:rFonts w:ascii="Arial" w:hAnsi="Arial" w:cs="Arial"/>
                <w:b/>
                <w:bCs/>
                <w:color w:val="000000"/>
              </w:rPr>
              <w:t>9,3</w:t>
            </w:r>
          </w:p>
        </w:tc>
        <w:tc>
          <w:tcPr>
            <w:tcW w:w="420" w:type="pct"/>
            <w:tcBorders>
              <w:top w:val="nil"/>
              <w:left w:val="single" w:sz="8" w:space="0" w:color="auto"/>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33,8</w:t>
            </w:r>
          </w:p>
        </w:tc>
        <w:tc>
          <w:tcPr>
            <w:tcW w:w="421"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22,2</w:t>
            </w:r>
          </w:p>
        </w:tc>
        <w:tc>
          <w:tcPr>
            <w:tcW w:w="349"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8,4</w:t>
            </w:r>
          </w:p>
        </w:tc>
        <w:tc>
          <w:tcPr>
            <w:tcW w:w="421"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30,6</w:t>
            </w:r>
          </w:p>
        </w:tc>
        <w:tc>
          <w:tcPr>
            <w:tcW w:w="722"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-3,2</w:t>
            </w:r>
          </w:p>
        </w:tc>
      </w:tr>
      <w:tr w:rsidR="0007030E" w:rsidTr="00D433B7">
        <w:trPr>
          <w:trHeight w:val="300"/>
        </w:trPr>
        <w:tc>
          <w:tcPr>
            <w:tcW w:w="699" w:type="pct"/>
            <w:tcBorders>
              <w:top w:val="nil"/>
              <w:left w:val="single" w:sz="8" w:space="0" w:color="000000"/>
              <w:bottom w:val="nil"/>
              <w:right w:val="nil"/>
            </w:tcBorders>
            <w:noWrap/>
            <w:vAlign w:val="bottom"/>
            <w:hideMark/>
          </w:tcPr>
          <w:p w:rsidR="0007030E" w:rsidRPr="00FE62D6" w:rsidRDefault="0007030E">
            <w:pPr>
              <w:rPr>
                <w:rFonts w:ascii="Arial" w:hAnsi="Arial" w:cs="Arial"/>
                <w:color w:val="000000"/>
              </w:rPr>
            </w:pPr>
            <w:r w:rsidRPr="00FE62D6">
              <w:rPr>
                <w:rFonts w:ascii="Arial" w:hAnsi="Arial" w:cs="Arial"/>
                <w:color w:val="000000"/>
              </w:rPr>
              <w:t>DPPO</w:t>
            </w:r>
          </w:p>
        </w:tc>
        <w:tc>
          <w:tcPr>
            <w:tcW w:w="1272" w:type="pct"/>
            <w:tcBorders>
              <w:top w:val="nil"/>
              <w:left w:val="nil"/>
              <w:bottom w:val="nil"/>
              <w:right w:val="single" w:sz="8" w:space="0" w:color="000000"/>
            </w:tcBorders>
            <w:noWrap/>
            <w:vAlign w:val="bottom"/>
            <w:hideMark/>
          </w:tcPr>
          <w:p w:rsidR="0007030E" w:rsidRDefault="0007030E">
            <w:pPr>
              <w:rPr>
                <w:rFonts w:ascii="Calibri" w:hAnsi="Calibri"/>
                <w:color w:val="000000"/>
                <w:sz w:val="22"/>
                <w:szCs w:val="22"/>
              </w:rPr>
            </w:pPr>
            <w:r>
              <w:rPr>
                <w:rFonts w:ascii="Calibri" w:hAnsi="Calibri"/>
                <w:color w:val="000000"/>
                <w:sz w:val="22"/>
                <w:szCs w:val="22"/>
              </w:rPr>
              <w:t> </w:t>
            </w:r>
          </w:p>
        </w:tc>
        <w:tc>
          <w:tcPr>
            <w:tcW w:w="348"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7,1</w:t>
            </w:r>
          </w:p>
        </w:tc>
        <w:tc>
          <w:tcPr>
            <w:tcW w:w="348" w:type="pct"/>
            <w:noWrap/>
            <w:vAlign w:val="center"/>
            <w:hideMark/>
          </w:tcPr>
          <w:p w:rsidR="0007030E" w:rsidRDefault="0007030E">
            <w:pPr>
              <w:jc w:val="right"/>
              <w:rPr>
                <w:rFonts w:ascii="Arial" w:hAnsi="Arial" w:cs="Arial"/>
                <w:b/>
                <w:bCs/>
                <w:color w:val="000000"/>
              </w:rPr>
            </w:pPr>
            <w:r>
              <w:rPr>
                <w:rFonts w:ascii="Arial" w:hAnsi="Arial" w:cs="Arial"/>
                <w:b/>
                <w:bCs/>
                <w:color w:val="000000"/>
              </w:rPr>
              <w:t>2,7</w:t>
            </w:r>
          </w:p>
        </w:tc>
        <w:tc>
          <w:tcPr>
            <w:tcW w:w="420" w:type="pct"/>
            <w:tcBorders>
              <w:top w:val="nil"/>
              <w:left w:val="single" w:sz="8" w:space="0" w:color="auto"/>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9,8</w:t>
            </w:r>
          </w:p>
        </w:tc>
        <w:tc>
          <w:tcPr>
            <w:tcW w:w="421"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7,7</w:t>
            </w:r>
          </w:p>
        </w:tc>
        <w:tc>
          <w:tcPr>
            <w:tcW w:w="349"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2,9</w:t>
            </w:r>
          </w:p>
        </w:tc>
        <w:tc>
          <w:tcPr>
            <w:tcW w:w="421"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10,6</w:t>
            </w:r>
          </w:p>
        </w:tc>
        <w:tc>
          <w:tcPr>
            <w:tcW w:w="722" w:type="pct"/>
            <w:tcBorders>
              <w:top w:val="nil"/>
              <w:left w:val="nil"/>
              <w:bottom w:val="nil"/>
              <w:right w:val="single" w:sz="8" w:space="0" w:color="auto"/>
            </w:tcBorders>
            <w:noWrap/>
            <w:vAlign w:val="center"/>
            <w:hideMark/>
          </w:tcPr>
          <w:p w:rsidR="0007030E" w:rsidRDefault="001871FC">
            <w:pPr>
              <w:jc w:val="right"/>
              <w:rPr>
                <w:rFonts w:ascii="Arial" w:hAnsi="Arial" w:cs="Arial"/>
                <w:b/>
                <w:bCs/>
                <w:color w:val="000000"/>
              </w:rPr>
            </w:pPr>
            <w:r>
              <w:rPr>
                <w:rFonts w:ascii="Arial" w:hAnsi="Arial" w:cs="Arial"/>
                <w:b/>
                <w:bCs/>
                <w:color w:val="000000"/>
              </w:rPr>
              <w:t>0,8</w:t>
            </w:r>
          </w:p>
        </w:tc>
      </w:tr>
      <w:tr w:rsidR="0007030E" w:rsidTr="00D433B7">
        <w:trPr>
          <w:trHeight w:val="300"/>
        </w:trPr>
        <w:tc>
          <w:tcPr>
            <w:tcW w:w="1971" w:type="pct"/>
            <w:gridSpan w:val="2"/>
            <w:tcBorders>
              <w:top w:val="nil"/>
              <w:left w:val="single" w:sz="8" w:space="0" w:color="000000"/>
              <w:bottom w:val="nil"/>
              <w:right w:val="single" w:sz="8" w:space="0" w:color="000000"/>
            </w:tcBorders>
            <w:noWrap/>
            <w:vAlign w:val="center"/>
            <w:hideMark/>
          </w:tcPr>
          <w:p w:rsidR="0007030E" w:rsidRDefault="0007030E">
            <w:pPr>
              <w:rPr>
                <w:rFonts w:ascii="Arial" w:hAnsi="Arial" w:cs="Arial"/>
                <w:color w:val="000000"/>
              </w:rPr>
            </w:pPr>
            <w:r>
              <w:rPr>
                <w:rFonts w:ascii="Arial" w:hAnsi="Arial" w:cs="Arial"/>
                <w:color w:val="000000"/>
              </w:rPr>
              <w:t>DPFO celkem</w:t>
            </w:r>
          </w:p>
        </w:tc>
        <w:tc>
          <w:tcPr>
            <w:tcW w:w="348"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9,1</w:t>
            </w:r>
          </w:p>
        </w:tc>
        <w:tc>
          <w:tcPr>
            <w:tcW w:w="348" w:type="pct"/>
            <w:noWrap/>
            <w:vAlign w:val="center"/>
            <w:hideMark/>
          </w:tcPr>
          <w:p w:rsidR="0007030E" w:rsidRDefault="0007030E">
            <w:pPr>
              <w:jc w:val="right"/>
              <w:rPr>
                <w:rFonts w:ascii="Arial" w:hAnsi="Arial" w:cs="Arial"/>
                <w:b/>
                <w:bCs/>
                <w:color w:val="000000"/>
              </w:rPr>
            </w:pPr>
            <w:r>
              <w:rPr>
                <w:rFonts w:ascii="Arial" w:hAnsi="Arial" w:cs="Arial"/>
                <w:b/>
                <w:bCs/>
                <w:color w:val="000000"/>
              </w:rPr>
              <w:t>3,7</w:t>
            </w:r>
          </w:p>
        </w:tc>
        <w:tc>
          <w:tcPr>
            <w:tcW w:w="420" w:type="pct"/>
            <w:tcBorders>
              <w:top w:val="nil"/>
              <w:left w:val="single" w:sz="8" w:space="0" w:color="auto"/>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12,8</w:t>
            </w:r>
          </w:p>
        </w:tc>
        <w:tc>
          <w:tcPr>
            <w:tcW w:w="421"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8,1</w:t>
            </w:r>
          </w:p>
        </w:tc>
        <w:tc>
          <w:tcPr>
            <w:tcW w:w="349"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3,5</w:t>
            </w:r>
          </w:p>
        </w:tc>
        <w:tc>
          <w:tcPr>
            <w:tcW w:w="421"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11,6</w:t>
            </w:r>
          </w:p>
        </w:tc>
        <w:tc>
          <w:tcPr>
            <w:tcW w:w="722"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-1,2</w:t>
            </w:r>
          </w:p>
        </w:tc>
      </w:tr>
      <w:tr w:rsidR="0007030E" w:rsidTr="00D433B7">
        <w:trPr>
          <w:trHeight w:val="300"/>
        </w:trPr>
        <w:tc>
          <w:tcPr>
            <w:tcW w:w="699" w:type="pct"/>
            <w:tcBorders>
              <w:top w:val="nil"/>
              <w:left w:val="single" w:sz="8" w:space="0" w:color="000000"/>
              <w:bottom w:val="nil"/>
              <w:right w:val="nil"/>
            </w:tcBorders>
            <w:noWrap/>
            <w:vAlign w:val="center"/>
            <w:hideMark/>
          </w:tcPr>
          <w:p w:rsidR="0007030E" w:rsidRDefault="0007030E">
            <w:pPr>
              <w:rPr>
                <w:rFonts w:ascii="Arial" w:hAnsi="Arial" w:cs="Arial"/>
                <w:color w:val="000000"/>
              </w:rPr>
            </w:pPr>
            <w:r>
              <w:rPr>
                <w:rFonts w:ascii="Arial" w:hAnsi="Arial" w:cs="Arial"/>
                <w:color w:val="000000"/>
              </w:rPr>
              <w:t>v tom:</w:t>
            </w:r>
          </w:p>
        </w:tc>
        <w:tc>
          <w:tcPr>
            <w:tcW w:w="1272" w:type="pct"/>
            <w:tcBorders>
              <w:top w:val="nil"/>
              <w:left w:val="nil"/>
              <w:bottom w:val="nil"/>
              <w:right w:val="single" w:sz="8" w:space="0" w:color="000000"/>
            </w:tcBorders>
            <w:noWrap/>
            <w:vAlign w:val="center"/>
            <w:hideMark/>
          </w:tcPr>
          <w:p w:rsidR="0007030E" w:rsidRDefault="0007030E">
            <w:pPr>
              <w:rPr>
                <w:rFonts w:ascii="Arial" w:hAnsi="Arial" w:cs="Arial"/>
                <w:color w:val="000000"/>
              </w:rPr>
            </w:pPr>
            <w:r>
              <w:rPr>
                <w:rFonts w:ascii="Arial" w:hAnsi="Arial" w:cs="Arial"/>
                <w:color w:val="000000"/>
              </w:rPr>
              <w:t>DPFO-zvl. sazba</w:t>
            </w:r>
          </w:p>
        </w:tc>
        <w:tc>
          <w:tcPr>
            <w:tcW w:w="348"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1,2</w:t>
            </w:r>
          </w:p>
        </w:tc>
        <w:tc>
          <w:tcPr>
            <w:tcW w:w="348" w:type="pct"/>
            <w:noWrap/>
            <w:vAlign w:val="center"/>
            <w:hideMark/>
          </w:tcPr>
          <w:p w:rsidR="0007030E" w:rsidRDefault="0007030E">
            <w:pPr>
              <w:jc w:val="right"/>
              <w:rPr>
                <w:rFonts w:ascii="Arial" w:hAnsi="Arial" w:cs="Arial"/>
                <w:color w:val="000000"/>
              </w:rPr>
            </w:pPr>
            <w:r>
              <w:rPr>
                <w:rFonts w:ascii="Arial" w:hAnsi="Arial" w:cs="Arial"/>
                <w:color w:val="000000"/>
              </w:rPr>
              <w:t>0,4</w:t>
            </w:r>
          </w:p>
        </w:tc>
        <w:tc>
          <w:tcPr>
            <w:tcW w:w="420" w:type="pct"/>
            <w:tcBorders>
              <w:top w:val="nil"/>
              <w:left w:val="single" w:sz="8" w:space="0" w:color="auto"/>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1,6</w:t>
            </w:r>
          </w:p>
        </w:tc>
        <w:tc>
          <w:tcPr>
            <w:tcW w:w="421"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1,2</w:t>
            </w:r>
          </w:p>
        </w:tc>
        <w:tc>
          <w:tcPr>
            <w:tcW w:w="349"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0,4</w:t>
            </w:r>
          </w:p>
        </w:tc>
        <w:tc>
          <w:tcPr>
            <w:tcW w:w="421"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1,6</w:t>
            </w:r>
          </w:p>
        </w:tc>
        <w:tc>
          <w:tcPr>
            <w:tcW w:w="722"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0,0</w:t>
            </w:r>
          </w:p>
        </w:tc>
      </w:tr>
      <w:tr w:rsidR="0007030E" w:rsidTr="00D433B7">
        <w:trPr>
          <w:trHeight w:val="300"/>
        </w:trPr>
        <w:tc>
          <w:tcPr>
            <w:tcW w:w="699" w:type="pct"/>
            <w:vMerge w:val="restart"/>
            <w:tcBorders>
              <w:top w:val="nil"/>
              <w:left w:val="single" w:sz="8" w:space="0" w:color="000000"/>
              <w:bottom w:val="nil"/>
              <w:right w:val="nil"/>
            </w:tcBorders>
            <w:textDirection w:val="btLr"/>
            <w:vAlign w:val="center"/>
            <w:hideMark/>
          </w:tcPr>
          <w:p w:rsidR="0007030E" w:rsidRDefault="0007030E">
            <w:pPr>
              <w:jc w:val="center"/>
              <w:rPr>
                <w:rFonts w:ascii="Arial" w:hAnsi="Arial" w:cs="Arial"/>
                <w:color w:val="FF0000"/>
              </w:rPr>
            </w:pPr>
            <w:r>
              <w:rPr>
                <w:rFonts w:ascii="Arial" w:hAnsi="Arial" w:cs="Arial"/>
                <w:color w:val="FF0000"/>
              </w:rPr>
              <w:t> </w:t>
            </w:r>
          </w:p>
        </w:tc>
        <w:tc>
          <w:tcPr>
            <w:tcW w:w="1272" w:type="pct"/>
            <w:tcBorders>
              <w:top w:val="nil"/>
              <w:left w:val="nil"/>
              <w:bottom w:val="nil"/>
              <w:right w:val="single" w:sz="8" w:space="0" w:color="000000"/>
            </w:tcBorders>
            <w:noWrap/>
            <w:vAlign w:val="center"/>
            <w:hideMark/>
          </w:tcPr>
          <w:p w:rsidR="0007030E" w:rsidRDefault="0007030E">
            <w:pPr>
              <w:rPr>
                <w:rFonts w:ascii="Arial" w:hAnsi="Arial" w:cs="Arial"/>
                <w:color w:val="000000"/>
              </w:rPr>
            </w:pPr>
            <w:r>
              <w:rPr>
                <w:rFonts w:ascii="Arial" w:hAnsi="Arial" w:cs="Arial"/>
                <w:color w:val="000000"/>
              </w:rPr>
              <w:t>DPFO-z přiznání</w:t>
            </w:r>
          </w:p>
        </w:tc>
        <w:tc>
          <w:tcPr>
            <w:tcW w:w="348"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-1,6</w:t>
            </w:r>
          </w:p>
        </w:tc>
        <w:tc>
          <w:tcPr>
            <w:tcW w:w="348" w:type="pct"/>
            <w:noWrap/>
            <w:vAlign w:val="center"/>
            <w:hideMark/>
          </w:tcPr>
          <w:p w:rsidR="0007030E" w:rsidRDefault="0007030E">
            <w:pPr>
              <w:jc w:val="right"/>
              <w:rPr>
                <w:rFonts w:ascii="Arial" w:hAnsi="Arial" w:cs="Arial"/>
                <w:color w:val="000000"/>
              </w:rPr>
            </w:pPr>
            <w:r>
              <w:rPr>
                <w:rFonts w:ascii="Arial" w:hAnsi="Arial" w:cs="Arial"/>
                <w:color w:val="000000"/>
              </w:rPr>
              <w:t>-0,2</w:t>
            </w:r>
          </w:p>
        </w:tc>
        <w:tc>
          <w:tcPr>
            <w:tcW w:w="420" w:type="pct"/>
            <w:tcBorders>
              <w:top w:val="nil"/>
              <w:left w:val="single" w:sz="8" w:space="0" w:color="auto"/>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-1,8</w:t>
            </w:r>
          </w:p>
        </w:tc>
        <w:tc>
          <w:tcPr>
            <w:tcW w:w="421"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-2,7</w:t>
            </w:r>
          </w:p>
        </w:tc>
        <w:tc>
          <w:tcPr>
            <w:tcW w:w="349"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-0,3</w:t>
            </w:r>
          </w:p>
        </w:tc>
        <w:tc>
          <w:tcPr>
            <w:tcW w:w="421"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-3</w:t>
            </w:r>
            <w:r w:rsidR="00C64766">
              <w:rPr>
                <w:rFonts w:ascii="Arial" w:hAnsi="Arial" w:cs="Arial"/>
                <w:color w:val="000000"/>
              </w:rPr>
              <w:t>,0</w:t>
            </w:r>
          </w:p>
        </w:tc>
        <w:tc>
          <w:tcPr>
            <w:tcW w:w="722"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-1,2</w:t>
            </w:r>
          </w:p>
        </w:tc>
      </w:tr>
      <w:tr w:rsidR="0007030E" w:rsidTr="00D433B7">
        <w:trPr>
          <w:trHeight w:val="300"/>
        </w:trPr>
        <w:tc>
          <w:tcPr>
            <w:tcW w:w="699" w:type="pct"/>
            <w:vMerge/>
            <w:tcBorders>
              <w:top w:val="nil"/>
              <w:left w:val="single" w:sz="8" w:space="0" w:color="000000"/>
              <w:bottom w:val="nil"/>
              <w:right w:val="nil"/>
            </w:tcBorders>
            <w:vAlign w:val="center"/>
            <w:hideMark/>
          </w:tcPr>
          <w:p w:rsidR="0007030E" w:rsidRDefault="0007030E">
            <w:pPr>
              <w:rPr>
                <w:rFonts w:ascii="Arial" w:hAnsi="Arial" w:cs="Arial"/>
                <w:color w:val="FF0000"/>
              </w:rPr>
            </w:pPr>
          </w:p>
        </w:tc>
        <w:tc>
          <w:tcPr>
            <w:tcW w:w="1272" w:type="pct"/>
            <w:tcBorders>
              <w:top w:val="nil"/>
              <w:left w:val="nil"/>
              <w:bottom w:val="nil"/>
              <w:right w:val="single" w:sz="8" w:space="0" w:color="000000"/>
            </w:tcBorders>
            <w:noWrap/>
            <w:vAlign w:val="center"/>
            <w:hideMark/>
          </w:tcPr>
          <w:p w:rsidR="0007030E" w:rsidRDefault="0007030E">
            <w:pPr>
              <w:rPr>
                <w:rFonts w:ascii="Arial" w:hAnsi="Arial" w:cs="Arial"/>
                <w:color w:val="000000"/>
              </w:rPr>
            </w:pPr>
            <w:r>
              <w:rPr>
                <w:rFonts w:ascii="Arial" w:hAnsi="Arial" w:cs="Arial"/>
                <w:color w:val="000000"/>
              </w:rPr>
              <w:t>DPFO-závislá činnost</w:t>
            </w:r>
          </w:p>
        </w:tc>
        <w:tc>
          <w:tcPr>
            <w:tcW w:w="348"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9,6</w:t>
            </w:r>
          </w:p>
        </w:tc>
        <w:tc>
          <w:tcPr>
            <w:tcW w:w="348" w:type="pct"/>
            <w:noWrap/>
            <w:vAlign w:val="center"/>
            <w:hideMark/>
          </w:tcPr>
          <w:p w:rsidR="0007030E" w:rsidRDefault="0007030E">
            <w:pPr>
              <w:jc w:val="right"/>
              <w:rPr>
                <w:rFonts w:ascii="Arial" w:hAnsi="Arial" w:cs="Arial"/>
                <w:color w:val="000000"/>
              </w:rPr>
            </w:pPr>
            <w:r>
              <w:rPr>
                <w:rFonts w:ascii="Arial" w:hAnsi="Arial" w:cs="Arial"/>
                <w:color w:val="000000"/>
              </w:rPr>
              <w:t>3,4</w:t>
            </w:r>
          </w:p>
        </w:tc>
        <w:tc>
          <w:tcPr>
            <w:tcW w:w="420" w:type="pct"/>
            <w:tcBorders>
              <w:top w:val="nil"/>
              <w:left w:val="single" w:sz="8" w:space="0" w:color="auto"/>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13</w:t>
            </w:r>
            <w:r w:rsidR="00C64766">
              <w:rPr>
                <w:rFonts w:ascii="Arial" w:hAnsi="Arial" w:cs="Arial"/>
                <w:color w:val="000000"/>
              </w:rPr>
              <w:t>,0</w:t>
            </w:r>
          </w:p>
        </w:tc>
        <w:tc>
          <w:tcPr>
            <w:tcW w:w="421"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9,6</w:t>
            </w:r>
          </w:p>
        </w:tc>
        <w:tc>
          <w:tcPr>
            <w:tcW w:w="349"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3,4</w:t>
            </w:r>
          </w:p>
        </w:tc>
        <w:tc>
          <w:tcPr>
            <w:tcW w:w="421"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13</w:t>
            </w:r>
            <w:r w:rsidR="00C64766">
              <w:rPr>
                <w:rFonts w:ascii="Arial" w:hAnsi="Arial" w:cs="Arial"/>
                <w:color w:val="000000"/>
              </w:rPr>
              <w:t>,0</w:t>
            </w:r>
          </w:p>
        </w:tc>
        <w:tc>
          <w:tcPr>
            <w:tcW w:w="722"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0,0</w:t>
            </w:r>
          </w:p>
        </w:tc>
      </w:tr>
      <w:tr w:rsidR="0007030E" w:rsidTr="00D433B7">
        <w:trPr>
          <w:trHeight w:val="315"/>
        </w:trPr>
        <w:tc>
          <w:tcPr>
            <w:tcW w:w="1971" w:type="pct"/>
            <w:gridSpan w:val="2"/>
            <w:tcBorders>
              <w:top w:val="nil"/>
              <w:left w:val="single" w:sz="8" w:space="0" w:color="000000"/>
              <w:bottom w:val="single" w:sz="8" w:space="0" w:color="auto"/>
              <w:right w:val="single" w:sz="8" w:space="0" w:color="000000"/>
            </w:tcBorders>
            <w:shd w:val="clear" w:color="auto" w:fill="FFFFFF"/>
            <w:vAlign w:val="center"/>
            <w:hideMark/>
          </w:tcPr>
          <w:p w:rsidR="0007030E" w:rsidRDefault="0007030E">
            <w:pPr>
              <w:rPr>
                <w:rFonts w:ascii="Arial" w:hAnsi="Arial" w:cs="Arial"/>
                <w:color w:val="000000"/>
              </w:rPr>
            </w:pPr>
            <w:r>
              <w:rPr>
                <w:rFonts w:ascii="Arial" w:hAnsi="Arial" w:cs="Arial"/>
                <w:color w:val="000000"/>
              </w:rPr>
              <w:t>Odvod z loterií</w:t>
            </w:r>
          </w:p>
        </w:tc>
        <w:tc>
          <w:tcPr>
            <w:tcW w:w="348" w:type="pct"/>
            <w:tcBorders>
              <w:top w:val="nil"/>
              <w:left w:val="nil"/>
              <w:bottom w:val="single" w:sz="8" w:space="0" w:color="auto"/>
              <w:right w:val="nil"/>
            </w:tcBorders>
            <w:noWrap/>
            <w:vAlign w:val="center"/>
            <w:hideMark/>
          </w:tcPr>
          <w:p w:rsidR="0007030E" w:rsidRDefault="0007030E">
            <w:pPr>
              <w:jc w:val="right"/>
              <w:rPr>
                <w:rFonts w:ascii="Arial" w:hAnsi="Arial" w:cs="Arial"/>
                <w:b/>
                <w:bCs/>
                <w:color w:val="000000"/>
              </w:rPr>
            </w:pPr>
            <w:r>
              <w:rPr>
                <w:rFonts w:ascii="Arial" w:hAnsi="Arial" w:cs="Arial"/>
                <w:b/>
                <w:bCs/>
                <w:color w:val="000000"/>
              </w:rPr>
              <w:t>3</w:t>
            </w:r>
            <w:r w:rsidR="00C64766">
              <w:rPr>
                <w:rFonts w:ascii="Arial" w:hAnsi="Arial" w:cs="Arial"/>
                <w:b/>
                <w:bCs/>
                <w:color w:val="000000"/>
              </w:rPr>
              <w:t>,0</w:t>
            </w:r>
          </w:p>
        </w:tc>
        <w:tc>
          <w:tcPr>
            <w:tcW w:w="348" w:type="pct"/>
            <w:tcBorders>
              <w:top w:val="nil"/>
              <w:left w:val="single" w:sz="8" w:space="0" w:color="auto"/>
              <w:bottom w:val="single" w:sz="8" w:space="0" w:color="auto"/>
              <w:right w:val="nil"/>
            </w:tcBorders>
            <w:noWrap/>
            <w:vAlign w:val="center"/>
            <w:hideMark/>
          </w:tcPr>
          <w:p w:rsidR="0007030E" w:rsidRDefault="0007030E">
            <w:pPr>
              <w:jc w:val="right"/>
              <w:rPr>
                <w:rFonts w:ascii="Arial" w:hAnsi="Arial" w:cs="Arial"/>
                <w:b/>
                <w:bCs/>
                <w:color w:val="000000"/>
              </w:rPr>
            </w:pPr>
            <w:r>
              <w:rPr>
                <w:rFonts w:ascii="Arial" w:hAnsi="Arial" w:cs="Arial"/>
                <w:b/>
                <w:bCs/>
                <w:color w:val="000000"/>
              </w:rPr>
              <w:t> </w:t>
            </w:r>
          </w:p>
        </w:tc>
        <w:tc>
          <w:tcPr>
            <w:tcW w:w="420" w:type="pct"/>
            <w:tcBorders>
              <w:top w:val="nil"/>
              <w:left w:val="single" w:sz="8" w:space="0" w:color="auto"/>
              <w:bottom w:val="single" w:sz="8" w:space="0" w:color="auto"/>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3</w:t>
            </w:r>
            <w:r w:rsidR="00C64766">
              <w:rPr>
                <w:rFonts w:ascii="Arial" w:hAnsi="Arial" w:cs="Arial"/>
                <w:b/>
                <w:bCs/>
                <w:color w:val="000000"/>
              </w:rPr>
              <w:t>,0</w:t>
            </w:r>
          </w:p>
        </w:tc>
        <w:tc>
          <w:tcPr>
            <w:tcW w:w="421" w:type="pct"/>
            <w:tcBorders>
              <w:top w:val="nil"/>
              <w:left w:val="nil"/>
              <w:bottom w:val="single" w:sz="8" w:space="0" w:color="auto"/>
              <w:right w:val="nil"/>
            </w:tcBorders>
            <w:noWrap/>
            <w:vAlign w:val="center"/>
            <w:hideMark/>
          </w:tcPr>
          <w:p w:rsidR="0007030E" w:rsidRDefault="0007030E">
            <w:pPr>
              <w:jc w:val="right"/>
              <w:rPr>
                <w:rFonts w:ascii="Arial" w:hAnsi="Arial" w:cs="Arial"/>
                <w:b/>
                <w:bCs/>
                <w:color w:val="000000"/>
              </w:rPr>
            </w:pPr>
            <w:r>
              <w:rPr>
                <w:rFonts w:ascii="Arial" w:hAnsi="Arial" w:cs="Arial"/>
                <w:b/>
                <w:bCs/>
                <w:color w:val="000000"/>
              </w:rPr>
              <w:t>3,3</w:t>
            </w:r>
          </w:p>
        </w:tc>
        <w:tc>
          <w:tcPr>
            <w:tcW w:w="349" w:type="pct"/>
            <w:tcBorders>
              <w:top w:val="nil"/>
              <w:left w:val="single" w:sz="8" w:space="0" w:color="auto"/>
              <w:bottom w:val="single" w:sz="8" w:space="0" w:color="auto"/>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 </w:t>
            </w:r>
          </w:p>
        </w:tc>
        <w:tc>
          <w:tcPr>
            <w:tcW w:w="421" w:type="pct"/>
            <w:tcBorders>
              <w:top w:val="nil"/>
              <w:left w:val="nil"/>
              <w:bottom w:val="single" w:sz="8" w:space="0" w:color="auto"/>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3,3</w:t>
            </w:r>
          </w:p>
        </w:tc>
        <w:tc>
          <w:tcPr>
            <w:tcW w:w="722" w:type="pct"/>
            <w:tcBorders>
              <w:top w:val="nil"/>
              <w:left w:val="nil"/>
              <w:bottom w:val="single" w:sz="8" w:space="0" w:color="auto"/>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0,3</w:t>
            </w:r>
          </w:p>
        </w:tc>
      </w:tr>
      <w:tr w:rsidR="0007030E" w:rsidTr="00D433B7">
        <w:trPr>
          <w:trHeight w:val="315"/>
        </w:trPr>
        <w:tc>
          <w:tcPr>
            <w:tcW w:w="1971" w:type="pct"/>
            <w:gridSpan w:val="2"/>
            <w:tcBorders>
              <w:top w:val="single" w:sz="8" w:space="0" w:color="auto"/>
              <w:left w:val="single" w:sz="8" w:space="0" w:color="auto"/>
              <w:bottom w:val="single" w:sz="8" w:space="0" w:color="auto"/>
              <w:right w:val="single" w:sz="8" w:space="0" w:color="000000"/>
            </w:tcBorders>
            <w:shd w:val="clear" w:color="auto" w:fill="FFFFFF"/>
            <w:noWrap/>
            <w:vAlign w:val="center"/>
            <w:hideMark/>
          </w:tcPr>
          <w:p w:rsidR="0007030E" w:rsidRDefault="0007030E">
            <w:pPr>
              <w:rPr>
                <w:rFonts w:ascii="Arial" w:hAnsi="Arial" w:cs="Arial"/>
                <w:b/>
                <w:bCs/>
                <w:color w:val="000000"/>
              </w:rPr>
            </w:pPr>
            <w:r>
              <w:rPr>
                <w:rFonts w:ascii="Arial" w:hAnsi="Arial" w:cs="Arial"/>
                <w:b/>
                <w:bCs/>
                <w:color w:val="000000"/>
              </w:rPr>
              <w:t>Celkem daňové příjmy</w:t>
            </w:r>
          </w:p>
        </w:tc>
        <w:tc>
          <w:tcPr>
            <w:tcW w:w="348" w:type="pct"/>
            <w:tcBorders>
              <w:top w:val="nil"/>
              <w:left w:val="nil"/>
              <w:bottom w:val="single" w:sz="8" w:space="0" w:color="auto"/>
              <w:right w:val="single" w:sz="8" w:space="0" w:color="auto"/>
            </w:tcBorders>
            <w:shd w:val="clear" w:color="auto" w:fill="FFFFFF"/>
            <w:noWrap/>
            <w:vAlign w:val="center"/>
            <w:hideMark/>
          </w:tcPr>
          <w:p w:rsidR="0007030E" w:rsidRDefault="0007030E">
            <w:pPr>
              <w:jc w:val="right"/>
              <w:rPr>
                <w:rFonts w:ascii="Arial" w:hAnsi="Arial" w:cs="Arial"/>
                <w:b/>
                <w:bCs/>
                <w:color w:val="000000"/>
              </w:rPr>
            </w:pPr>
            <w:r>
              <w:rPr>
                <w:rFonts w:ascii="Arial" w:hAnsi="Arial" w:cs="Arial"/>
                <w:b/>
                <w:bCs/>
                <w:color w:val="000000"/>
              </w:rPr>
              <w:t>43,7</w:t>
            </w:r>
          </w:p>
        </w:tc>
        <w:tc>
          <w:tcPr>
            <w:tcW w:w="348" w:type="pct"/>
            <w:tcBorders>
              <w:top w:val="nil"/>
              <w:left w:val="nil"/>
              <w:bottom w:val="single" w:sz="8" w:space="0" w:color="auto"/>
              <w:right w:val="nil"/>
            </w:tcBorders>
            <w:shd w:val="clear" w:color="auto" w:fill="FFFFFF"/>
            <w:noWrap/>
            <w:vAlign w:val="center"/>
            <w:hideMark/>
          </w:tcPr>
          <w:p w:rsidR="0007030E" w:rsidRDefault="0007030E">
            <w:pPr>
              <w:jc w:val="right"/>
              <w:rPr>
                <w:rFonts w:ascii="Arial" w:hAnsi="Arial" w:cs="Arial"/>
                <w:b/>
                <w:bCs/>
                <w:color w:val="000000"/>
              </w:rPr>
            </w:pPr>
            <w:r>
              <w:rPr>
                <w:rFonts w:ascii="Arial" w:hAnsi="Arial" w:cs="Arial"/>
                <w:b/>
                <w:bCs/>
                <w:color w:val="000000"/>
              </w:rPr>
              <w:t>15,6</w:t>
            </w:r>
          </w:p>
        </w:tc>
        <w:tc>
          <w:tcPr>
            <w:tcW w:w="420" w:type="pct"/>
            <w:tcBorders>
              <w:top w:val="nil"/>
              <w:left w:val="single" w:sz="8" w:space="0" w:color="auto"/>
              <w:bottom w:val="single" w:sz="8" w:space="0" w:color="auto"/>
              <w:right w:val="single" w:sz="8" w:space="0" w:color="auto"/>
            </w:tcBorders>
            <w:shd w:val="clear" w:color="auto" w:fill="FFFFFF"/>
            <w:noWrap/>
            <w:vAlign w:val="center"/>
            <w:hideMark/>
          </w:tcPr>
          <w:p w:rsidR="0007030E" w:rsidRDefault="0007030E">
            <w:pPr>
              <w:jc w:val="right"/>
              <w:rPr>
                <w:rFonts w:ascii="Arial" w:hAnsi="Arial" w:cs="Arial"/>
                <w:b/>
                <w:bCs/>
                <w:color w:val="000000"/>
              </w:rPr>
            </w:pPr>
            <w:r>
              <w:rPr>
                <w:rFonts w:ascii="Arial" w:hAnsi="Arial" w:cs="Arial"/>
                <w:b/>
                <w:bCs/>
                <w:color w:val="000000"/>
              </w:rPr>
              <w:t>59,3</w:t>
            </w:r>
          </w:p>
        </w:tc>
        <w:tc>
          <w:tcPr>
            <w:tcW w:w="421" w:type="pct"/>
            <w:tcBorders>
              <w:top w:val="nil"/>
              <w:left w:val="nil"/>
              <w:bottom w:val="single" w:sz="8" w:space="0" w:color="auto"/>
              <w:right w:val="single" w:sz="8" w:space="0" w:color="auto"/>
            </w:tcBorders>
            <w:shd w:val="clear" w:color="auto" w:fill="FFFFFF"/>
            <w:noWrap/>
            <w:vAlign w:val="center"/>
            <w:hideMark/>
          </w:tcPr>
          <w:p w:rsidR="0007030E" w:rsidRDefault="0007030E">
            <w:pPr>
              <w:jc w:val="right"/>
              <w:rPr>
                <w:rFonts w:ascii="Arial" w:hAnsi="Arial" w:cs="Arial"/>
                <w:b/>
                <w:bCs/>
                <w:color w:val="000000"/>
              </w:rPr>
            </w:pPr>
            <w:r>
              <w:rPr>
                <w:rFonts w:ascii="Arial" w:hAnsi="Arial" w:cs="Arial"/>
                <w:b/>
                <w:bCs/>
                <w:color w:val="000000"/>
              </w:rPr>
              <w:t>41,3</w:t>
            </w:r>
          </w:p>
        </w:tc>
        <w:tc>
          <w:tcPr>
            <w:tcW w:w="349" w:type="pct"/>
            <w:tcBorders>
              <w:top w:val="nil"/>
              <w:left w:val="nil"/>
              <w:bottom w:val="single" w:sz="8" w:space="0" w:color="auto"/>
              <w:right w:val="single" w:sz="8" w:space="0" w:color="auto"/>
            </w:tcBorders>
            <w:shd w:val="clear" w:color="auto" w:fill="FFFFFF"/>
            <w:noWrap/>
            <w:vAlign w:val="center"/>
            <w:hideMark/>
          </w:tcPr>
          <w:p w:rsidR="0007030E" w:rsidRDefault="0007030E">
            <w:pPr>
              <w:jc w:val="right"/>
              <w:rPr>
                <w:rFonts w:ascii="Arial" w:hAnsi="Arial" w:cs="Arial"/>
                <w:b/>
                <w:bCs/>
                <w:color w:val="000000"/>
              </w:rPr>
            </w:pPr>
            <w:r>
              <w:rPr>
                <w:rFonts w:ascii="Arial" w:hAnsi="Arial" w:cs="Arial"/>
                <w:b/>
                <w:bCs/>
                <w:color w:val="000000"/>
              </w:rPr>
              <w:t>14,8</w:t>
            </w:r>
          </w:p>
        </w:tc>
        <w:tc>
          <w:tcPr>
            <w:tcW w:w="421" w:type="pct"/>
            <w:tcBorders>
              <w:top w:val="nil"/>
              <w:left w:val="nil"/>
              <w:bottom w:val="single" w:sz="8" w:space="0" w:color="auto"/>
              <w:right w:val="single" w:sz="8" w:space="0" w:color="auto"/>
            </w:tcBorders>
            <w:shd w:val="clear" w:color="auto" w:fill="FFFFFF"/>
            <w:noWrap/>
            <w:vAlign w:val="center"/>
            <w:hideMark/>
          </w:tcPr>
          <w:p w:rsidR="0007030E" w:rsidRDefault="0007030E">
            <w:pPr>
              <w:jc w:val="right"/>
              <w:rPr>
                <w:rFonts w:ascii="Arial" w:hAnsi="Arial" w:cs="Arial"/>
                <w:b/>
                <w:bCs/>
                <w:color w:val="000000"/>
              </w:rPr>
            </w:pPr>
            <w:r>
              <w:rPr>
                <w:rFonts w:ascii="Arial" w:hAnsi="Arial" w:cs="Arial"/>
                <w:b/>
                <w:bCs/>
                <w:color w:val="000000"/>
              </w:rPr>
              <w:t>56,1</w:t>
            </w:r>
          </w:p>
        </w:tc>
        <w:tc>
          <w:tcPr>
            <w:tcW w:w="722" w:type="pct"/>
            <w:tcBorders>
              <w:top w:val="nil"/>
              <w:left w:val="nil"/>
              <w:bottom w:val="single" w:sz="8" w:space="0" w:color="auto"/>
              <w:right w:val="single" w:sz="8" w:space="0" w:color="auto"/>
            </w:tcBorders>
            <w:shd w:val="clear" w:color="auto" w:fill="FFFFFF"/>
            <w:noWrap/>
            <w:vAlign w:val="center"/>
            <w:hideMark/>
          </w:tcPr>
          <w:p w:rsidR="0007030E" w:rsidRDefault="001871FC">
            <w:pPr>
              <w:jc w:val="right"/>
              <w:rPr>
                <w:rFonts w:ascii="Arial" w:hAnsi="Arial" w:cs="Arial"/>
                <w:b/>
                <w:bCs/>
                <w:color w:val="000000"/>
              </w:rPr>
            </w:pPr>
            <w:r>
              <w:rPr>
                <w:rFonts w:ascii="Arial" w:hAnsi="Arial" w:cs="Arial"/>
                <w:b/>
                <w:bCs/>
                <w:color w:val="000000"/>
              </w:rPr>
              <w:t>-3,2</w:t>
            </w:r>
          </w:p>
        </w:tc>
      </w:tr>
    </w:tbl>
    <w:p w:rsidR="0007030E" w:rsidRDefault="00D433B7" w:rsidP="0007030E">
      <w:pPr>
        <w:pStyle w:val="Popisky"/>
        <w:spacing w:before="20" w:after="20"/>
        <w:jc w:val="both"/>
        <w:rPr>
          <w:rFonts w:ascii="Calibri" w:hAnsi="Calibri" w:cs="Arial CE"/>
        </w:rPr>
      </w:pPr>
      <w:r>
        <w:rPr>
          <w:rFonts w:ascii="Calibri" w:hAnsi="Calibri" w:cs="Arial CE"/>
        </w:rPr>
        <w:t xml:space="preserve">Hodnoty v tabulce jsou zaokrouhleny. </w:t>
      </w:r>
      <w:r w:rsidR="0007030E">
        <w:rPr>
          <w:rFonts w:ascii="Calibri" w:hAnsi="Calibri" w:cs="Arial CE"/>
        </w:rPr>
        <w:t>Rozdělení výnosů daní je uvedeno v ideálních částkách přesně odpovídajících rozpočtovému určení daní, nepřihlíží k částkám skutečně převedeným do místních rozpočtů. Podíl obcí a krajů na celostátním inkasu je u daně z přidané hodnoty 28,69 %, u daně z příjmů právnických osob 32,5 % a u daně z příjmů fyzických osob ze závislé činnosti je podíl obcí a krajů 33,02 %, z přiznání náleží obcím a krajům 49,5 % a ze zvláštní sazby je příjmem municipalit 32,5 %. Odvod z loterií se dělí mezi obce a státní rozpočet u výherních hracích přístrojů a jiných technických zařízení v poměru 80 % pro státní rozpočet a 20 % pro rozpočet obcí. Z ostatních her je příjmem státního rozpočtu 70 % a příjmem obcí je 30 %. DPPO nezahrnuje daň placenou obcemi a kraji.</w:t>
      </w:r>
    </w:p>
    <w:p w:rsidR="0007030E" w:rsidRDefault="0007030E" w:rsidP="0007030E">
      <w:pPr>
        <w:pStyle w:val="Popisky"/>
        <w:spacing w:before="20" w:after="20"/>
        <w:ind w:firstLine="708"/>
        <w:jc w:val="both"/>
        <w:rPr>
          <w:rFonts w:ascii="Times New Roman" w:hAnsi="Times New Roman"/>
          <w:sz w:val="24"/>
        </w:rPr>
      </w:pPr>
    </w:p>
    <w:p w:rsidR="0007030E" w:rsidRDefault="0007030E" w:rsidP="0007030E">
      <w:pPr>
        <w:pStyle w:val="Popisky"/>
        <w:spacing w:before="20" w:after="20"/>
        <w:ind w:firstLine="708"/>
        <w:jc w:val="both"/>
        <w:rPr>
          <w:rFonts w:ascii="Times New Roman" w:hAnsi="Times New Roman"/>
          <w:i/>
          <w:sz w:val="24"/>
        </w:rPr>
      </w:pPr>
      <w:r>
        <w:rPr>
          <w:rFonts w:ascii="Times New Roman" w:hAnsi="Times New Roman"/>
          <w:i/>
          <w:sz w:val="24"/>
        </w:rPr>
        <w:t>Daň z přidané hodnoty</w:t>
      </w:r>
    </w:p>
    <w:p w:rsidR="0007030E" w:rsidRDefault="0007030E" w:rsidP="0007030E">
      <w:pPr>
        <w:pStyle w:val="Popisky"/>
        <w:spacing w:before="20" w:after="20"/>
        <w:ind w:firstLine="708"/>
        <w:jc w:val="both"/>
        <w:rPr>
          <w:rFonts w:ascii="Times New Roman" w:hAnsi="Times New Roman"/>
          <w:sz w:val="24"/>
        </w:rPr>
      </w:pPr>
      <w:r>
        <w:rPr>
          <w:rFonts w:ascii="Times New Roman" w:hAnsi="Times New Roman"/>
          <w:sz w:val="24"/>
        </w:rPr>
        <w:t xml:space="preserve">Nejvyšší meziroční rozdíl u inkasa ze sdílených daní je zaznamenán u daně z přidané hodnoty. Inkaso za první čtyři měsíce roku 2015 bylo meziročně nižší o 3,2 mld. Kč. Důvodem tohoto meziročního poklesu je vysoká srovnávací základna minulého roku. V období měsíců ledna až dubna 2014 bylo inkaso zvýšeno tím, že v rámci kontrolní činnosti bylo finanční správou zadrženo vyplacení nadměrných odpočtů ve výši cca 3,4 mld. Kč. Zadržení těchto nadměrných odpočtů a jejich nevyplacení znamenalo nárůst běžného inkasa prvních čtyř měsíců roku 2014 právě o tuto částku. Nicméně tyto zadržené nadměrné odpočty byly z velké části postupně v průběhu roku 2014 vyplaceny, tudíž v dalších měsících od května roku 2014 naopak postupné vyplácení těchto zadržených odpočtů snižovalo inkaso daně z přidané hodnoty. </w:t>
      </w:r>
    </w:p>
    <w:p w:rsidR="0007030E" w:rsidRDefault="0007030E" w:rsidP="0007030E">
      <w:pPr>
        <w:pStyle w:val="Popisky"/>
        <w:spacing w:before="20" w:after="20"/>
        <w:ind w:firstLine="708"/>
        <w:jc w:val="both"/>
        <w:rPr>
          <w:rFonts w:ascii="Times New Roman" w:hAnsi="Times New Roman"/>
          <w:sz w:val="24"/>
        </w:rPr>
      </w:pPr>
      <w:r>
        <w:rPr>
          <w:rFonts w:ascii="Times New Roman" w:hAnsi="Times New Roman"/>
          <w:sz w:val="24"/>
        </w:rPr>
        <w:t xml:space="preserve">Nižší mírou se na propadu meziročního inkasa daně z přidané hodnoty podílelo </w:t>
      </w:r>
      <w:r w:rsidR="00B5059E">
        <w:rPr>
          <w:rFonts w:ascii="Times New Roman" w:hAnsi="Times New Roman"/>
          <w:sz w:val="24"/>
        </w:rPr>
        <w:br/>
      </w:r>
      <w:r>
        <w:rPr>
          <w:rFonts w:ascii="Times New Roman" w:hAnsi="Times New Roman"/>
          <w:sz w:val="24"/>
        </w:rPr>
        <w:t>i zavedení druhé snížené sazby ve výši 10 procent na knihy, léky a nenahraditelnou dětskou výživu. Odhadujeme, že za první čtyři měsíce tohoto roku mělo zavedení druhé snížené sazby negativní vliv na inkaso ve výši cca 0,2 mld. Kč. Dalším faktorem, který se projevil meziročním snížením inkasa daně z přidané hodnoty, bylo vrácení části zadržených nadměrných odpočtů ve výši 0,2 mld. Kč.</w:t>
      </w:r>
    </w:p>
    <w:p w:rsidR="0007030E" w:rsidRDefault="0007030E" w:rsidP="0007030E">
      <w:pPr>
        <w:pStyle w:val="Popisky"/>
        <w:spacing w:before="20" w:after="20"/>
        <w:ind w:firstLine="708"/>
        <w:jc w:val="both"/>
        <w:rPr>
          <w:rFonts w:ascii="Times New Roman" w:hAnsi="Times New Roman"/>
          <w:sz w:val="24"/>
        </w:rPr>
      </w:pPr>
      <w:r>
        <w:rPr>
          <w:rFonts w:ascii="Times New Roman" w:hAnsi="Times New Roman"/>
          <w:sz w:val="24"/>
        </w:rPr>
        <w:t xml:space="preserve">Pozitivní zprávou je, že meziroční měsíční inkaso za měsíc březen bylo o 0,6 mld. Kč vyšší než v minulém roce. Trend meziročně vyšších měsíčních inkas pokračoval i v měsíci dubnu, kdy bylo meziroční měsíční inkaso vyšší o 0,3 mld. Kč. Pokračující trend očekáváme </w:t>
      </w:r>
      <w:r w:rsidR="00B5059E">
        <w:rPr>
          <w:rFonts w:ascii="Times New Roman" w:hAnsi="Times New Roman"/>
          <w:sz w:val="24"/>
        </w:rPr>
        <w:br/>
      </w:r>
      <w:r>
        <w:rPr>
          <w:rFonts w:ascii="Times New Roman" w:hAnsi="Times New Roman"/>
          <w:sz w:val="24"/>
        </w:rPr>
        <w:lastRenderedPageBreak/>
        <w:t xml:space="preserve">i </w:t>
      </w:r>
      <w:r w:rsidR="008B3EFB">
        <w:rPr>
          <w:rFonts w:ascii="Times New Roman" w:hAnsi="Times New Roman"/>
          <w:sz w:val="24"/>
        </w:rPr>
        <w:t xml:space="preserve">v </w:t>
      </w:r>
      <w:r>
        <w:rPr>
          <w:rFonts w:ascii="Times New Roman" w:hAnsi="Times New Roman"/>
          <w:sz w:val="24"/>
        </w:rPr>
        <w:t>průběhu dalších měsíců roku, tudíž celoroční inkaso daně z přidané hodnoty odhadujeme ve výši 93,1 mld. Kč, což znamená meziroční nárůst o 0,4 mld. Kč.</w:t>
      </w:r>
    </w:p>
    <w:p w:rsidR="0007030E" w:rsidRDefault="0007030E" w:rsidP="0007030E">
      <w:pPr>
        <w:pStyle w:val="Popisky"/>
        <w:spacing w:before="20" w:after="20"/>
        <w:ind w:firstLine="708"/>
        <w:jc w:val="both"/>
        <w:rPr>
          <w:rFonts w:ascii="Times New Roman" w:hAnsi="Times New Roman"/>
          <w:sz w:val="24"/>
        </w:rPr>
      </w:pPr>
    </w:p>
    <w:p w:rsidR="0007030E" w:rsidRDefault="0007030E" w:rsidP="0007030E">
      <w:pPr>
        <w:pStyle w:val="Popisky"/>
        <w:spacing w:before="20" w:after="20"/>
        <w:ind w:firstLine="708"/>
        <w:jc w:val="both"/>
        <w:rPr>
          <w:rFonts w:ascii="Times New Roman" w:hAnsi="Times New Roman"/>
          <w:i/>
          <w:sz w:val="24"/>
        </w:rPr>
      </w:pPr>
      <w:r>
        <w:rPr>
          <w:rFonts w:ascii="Times New Roman" w:hAnsi="Times New Roman"/>
          <w:i/>
          <w:sz w:val="24"/>
        </w:rPr>
        <w:t>Daň z příjmů právnických osob</w:t>
      </w:r>
    </w:p>
    <w:p w:rsidR="0007030E" w:rsidRDefault="0007030E" w:rsidP="0007030E">
      <w:pPr>
        <w:pStyle w:val="Popisky"/>
        <w:spacing w:before="20" w:after="20"/>
        <w:ind w:firstLine="708"/>
        <w:jc w:val="both"/>
        <w:rPr>
          <w:rFonts w:ascii="Times New Roman" w:hAnsi="Times New Roman"/>
          <w:sz w:val="24"/>
        </w:rPr>
      </w:pPr>
      <w:r>
        <w:rPr>
          <w:rFonts w:ascii="Times New Roman" w:hAnsi="Times New Roman"/>
          <w:sz w:val="24"/>
        </w:rPr>
        <w:t xml:space="preserve">Inkaso této daně vykazuje za první čtyři měsíce tohoto roku meziroční nárůst </w:t>
      </w:r>
      <w:r w:rsidR="00B5059E">
        <w:rPr>
          <w:rFonts w:ascii="Times New Roman" w:hAnsi="Times New Roman"/>
          <w:sz w:val="24"/>
        </w:rPr>
        <w:br/>
      </w:r>
      <w:r>
        <w:rPr>
          <w:rFonts w:ascii="Times New Roman" w:hAnsi="Times New Roman"/>
          <w:sz w:val="24"/>
        </w:rPr>
        <w:t xml:space="preserve">o </w:t>
      </w:r>
      <w:r w:rsidR="003D7E17">
        <w:rPr>
          <w:rFonts w:ascii="Times New Roman" w:hAnsi="Times New Roman"/>
          <w:sz w:val="24"/>
        </w:rPr>
        <w:t xml:space="preserve">více než </w:t>
      </w:r>
      <w:r>
        <w:rPr>
          <w:rFonts w:ascii="Times New Roman" w:hAnsi="Times New Roman"/>
          <w:sz w:val="24"/>
        </w:rPr>
        <w:t>0,8 mld. Kč. Na celoroční bázi predikujeme meziroční nárůst inkasa této daně pro obce a kraje až o 1,6 mld. Kč.</w:t>
      </w:r>
    </w:p>
    <w:p w:rsidR="0007030E" w:rsidRDefault="0007030E" w:rsidP="0007030E">
      <w:pPr>
        <w:pStyle w:val="Popisky"/>
        <w:spacing w:before="20" w:after="20"/>
        <w:ind w:firstLine="708"/>
        <w:jc w:val="both"/>
        <w:rPr>
          <w:rFonts w:ascii="Times New Roman" w:hAnsi="Times New Roman"/>
          <w:sz w:val="24"/>
        </w:rPr>
      </w:pPr>
    </w:p>
    <w:p w:rsidR="0007030E" w:rsidRDefault="0007030E" w:rsidP="0007030E">
      <w:pPr>
        <w:pStyle w:val="Popisky"/>
        <w:spacing w:before="20" w:after="20"/>
        <w:ind w:firstLine="708"/>
        <w:jc w:val="both"/>
        <w:rPr>
          <w:rFonts w:ascii="Times New Roman" w:hAnsi="Times New Roman"/>
          <w:i/>
          <w:sz w:val="24"/>
        </w:rPr>
      </w:pPr>
      <w:r>
        <w:rPr>
          <w:rFonts w:ascii="Times New Roman" w:hAnsi="Times New Roman"/>
          <w:i/>
          <w:sz w:val="24"/>
        </w:rPr>
        <w:t>Daň z příjmů fyzických osob</w:t>
      </w:r>
    </w:p>
    <w:p w:rsidR="0007030E" w:rsidRDefault="0007030E" w:rsidP="00223343">
      <w:pPr>
        <w:ind w:firstLine="708"/>
        <w:jc w:val="both"/>
      </w:pPr>
      <w:r>
        <w:rPr>
          <w:sz w:val="24"/>
        </w:rPr>
        <w:t>Za první tři měsíce roku 2015 bylo celkové inkaso za všechny druhy daně z příjmů fyzických osob meziročně nižší o 1,2 mld. Kč. Důvodem byl meziroční propad inkasa daně z příjmů fyzických osob z přiznání o 1,2 mld. Kč. Tento meziroční propad inkasa je způsoben zpětným vyplácením slev pracujícím důchodcům za rok 2013 a 2014 a to na základě roz</w:t>
      </w:r>
      <w:r w:rsidR="00B5059E">
        <w:rPr>
          <w:sz w:val="24"/>
        </w:rPr>
        <w:t xml:space="preserve">hodnutí Ústavního soudu ze dne </w:t>
      </w:r>
      <w:r>
        <w:rPr>
          <w:sz w:val="24"/>
        </w:rPr>
        <w:t xml:space="preserve">30. července 2014, kdy vyhlásil nález sp. zn. Pl. ÚS 31/13, jímž rozhodl o neústavnosti regulace slevy na dani v případě pracujících starobních důchodců. Starobní důchodci si na základě tohoto nálezu tak mohli uplatnit základní slevu na dani za zdaňovací období roku 2014. Následně však byl dne 22. září  2014 vydán další nález sp. zn. I. ÚS 2340/2013, kterým umožnil uplatnit slevu na poplatníka starobním důchodcům </w:t>
      </w:r>
      <w:r w:rsidR="00B5059E">
        <w:rPr>
          <w:sz w:val="24"/>
        </w:rPr>
        <w:br/>
      </w:r>
      <w:r>
        <w:rPr>
          <w:sz w:val="24"/>
        </w:rPr>
        <w:t>i za zdaňovací období 2013.</w:t>
      </w:r>
    </w:p>
    <w:p w:rsidR="0007030E" w:rsidRDefault="0007030E" w:rsidP="0007030E">
      <w:pPr>
        <w:pStyle w:val="Popisky"/>
        <w:spacing w:before="20" w:after="20"/>
        <w:ind w:firstLine="708"/>
        <w:jc w:val="both"/>
        <w:rPr>
          <w:rFonts w:ascii="Times New Roman" w:hAnsi="Times New Roman"/>
          <w:sz w:val="24"/>
        </w:rPr>
      </w:pPr>
      <w:r>
        <w:rPr>
          <w:rFonts w:ascii="Times New Roman" w:hAnsi="Times New Roman"/>
          <w:sz w:val="24"/>
        </w:rPr>
        <w:t xml:space="preserve"> Tento negativní jev bude u této daně dlouhodobě přetrvávat a snižovat tak celoroční inkaso. </w:t>
      </w:r>
    </w:p>
    <w:p w:rsidR="0007030E" w:rsidRDefault="0007030E" w:rsidP="00C12CA3">
      <w:pPr>
        <w:pStyle w:val="Popisky"/>
        <w:spacing w:before="20" w:after="20"/>
        <w:ind w:firstLine="708"/>
        <w:jc w:val="both"/>
        <w:rPr>
          <w:rFonts w:ascii="Times New Roman" w:hAnsi="Times New Roman"/>
          <w:sz w:val="24"/>
        </w:rPr>
      </w:pPr>
      <w:r>
        <w:rPr>
          <w:rFonts w:ascii="Times New Roman" w:hAnsi="Times New Roman"/>
          <w:sz w:val="24"/>
        </w:rPr>
        <w:t>Celoroční predikce inkasa za všechny druhy daně z příjmů fyzických osob je meziročně vyšší o 3,2 mld. Kč.</w:t>
      </w:r>
    </w:p>
    <w:p w:rsidR="0007030E" w:rsidRDefault="0007030E" w:rsidP="0007030E">
      <w:pPr>
        <w:pStyle w:val="Popisky"/>
        <w:spacing w:before="20" w:after="20"/>
        <w:ind w:firstLine="708"/>
        <w:jc w:val="both"/>
        <w:rPr>
          <w:rFonts w:ascii="Times New Roman" w:hAnsi="Times New Roman"/>
          <w:sz w:val="24"/>
        </w:rPr>
      </w:pPr>
    </w:p>
    <w:p w:rsidR="0007030E" w:rsidRDefault="0007030E" w:rsidP="0007030E">
      <w:pPr>
        <w:pStyle w:val="Popisky"/>
        <w:spacing w:before="20" w:after="20"/>
        <w:ind w:firstLine="708"/>
        <w:jc w:val="both"/>
        <w:rPr>
          <w:rFonts w:ascii="Times New Roman" w:hAnsi="Times New Roman"/>
          <w:i/>
          <w:sz w:val="24"/>
        </w:rPr>
      </w:pPr>
      <w:r>
        <w:rPr>
          <w:rFonts w:ascii="Times New Roman" w:hAnsi="Times New Roman"/>
          <w:i/>
          <w:sz w:val="24"/>
        </w:rPr>
        <w:t>Odvod z loterií a jiných podobných her</w:t>
      </w:r>
    </w:p>
    <w:p w:rsidR="0007030E" w:rsidRDefault="0057706A" w:rsidP="0007030E">
      <w:pPr>
        <w:pStyle w:val="Popisky"/>
        <w:spacing w:before="20" w:after="20"/>
        <w:ind w:firstLine="708"/>
        <w:jc w:val="both"/>
        <w:rPr>
          <w:rFonts w:ascii="Times New Roman" w:hAnsi="Times New Roman"/>
          <w:sz w:val="24"/>
        </w:rPr>
      </w:pPr>
      <w:r>
        <w:rPr>
          <w:rFonts w:ascii="Times New Roman" w:hAnsi="Times New Roman"/>
          <w:sz w:val="24"/>
        </w:rPr>
        <w:t>Za první čtyři měsíce tohoto roku je vykázán m</w:t>
      </w:r>
      <w:r w:rsidR="0007030E">
        <w:rPr>
          <w:rFonts w:ascii="Times New Roman" w:hAnsi="Times New Roman"/>
          <w:sz w:val="24"/>
        </w:rPr>
        <w:t xml:space="preserve">eziroční </w:t>
      </w:r>
      <w:r w:rsidR="00851C2A">
        <w:rPr>
          <w:rFonts w:ascii="Times New Roman" w:hAnsi="Times New Roman"/>
          <w:sz w:val="24"/>
        </w:rPr>
        <w:t>nárůst</w:t>
      </w:r>
      <w:r w:rsidR="000A7CBC">
        <w:rPr>
          <w:rFonts w:ascii="Times New Roman" w:hAnsi="Times New Roman"/>
          <w:sz w:val="24"/>
        </w:rPr>
        <w:t xml:space="preserve"> inkasa o cca 0,3</w:t>
      </w:r>
      <w:r w:rsidR="008B3EFB">
        <w:rPr>
          <w:rFonts w:ascii="Times New Roman" w:hAnsi="Times New Roman"/>
          <w:sz w:val="24"/>
        </w:rPr>
        <w:t> </w:t>
      </w:r>
      <w:r w:rsidR="000A7CBC">
        <w:rPr>
          <w:rFonts w:ascii="Times New Roman" w:hAnsi="Times New Roman"/>
          <w:sz w:val="24"/>
        </w:rPr>
        <w:t>mld.</w:t>
      </w:r>
      <w:r w:rsidR="008B3EFB">
        <w:rPr>
          <w:rFonts w:ascii="Times New Roman" w:hAnsi="Times New Roman"/>
          <w:sz w:val="24"/>
        </w:rPr>
        <w:t> </w:t>
      </w:r>
      <w:r w:rsidR="0007030E">
        <w:rPr>
          <w:rFonts w:ascii="Times New Roman" w:hAnsi="Times New Roman"/>
          <w:sz w:val="24"/>
        </w:rPr>
        <w:t>Kč</w:t>
      </w:r>
      <w:r>
        <w:rPr>
          <w:rFonts w:ascii="Times New Roman" w:hAnsi="Times New Roman"/>
          <w:sz w:val="24"/>
        </w:rPr>
        <w:t>.</w:t>
      </w:r>
      <w:r w:rsidR="0007030E">
        <w:rPr>
          <w:rFonts w:ascii="Times New Roman" w:hAnsi="Times New Roman"/>
          <w:sz w:val="24"/>
        </w:rPr>
        <w:t xml:space="preserve"> </w:t>
      </w:r>
      <w:r w:rsidR="000A7CBC">
        <w:rPr>
          <w:rFonts w:ascii="Times New Roman" w:hAnsi="Times New Roman"/>
          <w:sz w:val="24"/>
        </w:rPr>
        <w:t xml:space="preserve">Nicméně </w:t>
      </w:r>
      <w:r w:rsidR="0007030E">
        <w:rPr>
          <w:rFonts w:ascii="Times New Roman" w:hAnsi="Times New Roman"/>
          <w:sz w:val="24"/>
        </w:rPr>
        <w:t xml:space="preserve">ve velkém měřítku dochází k omezení hazardu v jednotlivých samosprávných celcích – např. Brno v některých městských částech zakazuje hrací automaty úplně a také dochází ke zrušení provozu velkého počtu hracích přístrojů (80 % těchto výnosů jde do rozpočtu obcí). Vesměs se jedná o autonomní rozhodnutí jednotlivých obcí. Z výše uvedených důvodů očekáváme </w:t>
      </w:r>
      <w:r w:rsidR="000A7CBC">
        <w:rPr>
          <w:rFonts w:ascii="Times New Roman" w:hAnsi="Times New Roman"/>
          <w:sz w:val="24"/>
        </w:rPr>
        <w:t xml:space="preserve">konzervativně spíše </w:t>
      </w:r>
      <w:r w:rsidR="0007030E">
        <w:rPr>
          <w:rFonts w:ascii="Times New Roman" w:hAnsi="Times New Roman"/>
          <w:sz w:val="24"/>
        </w:rPr>
        <w:t>celoroční pokles inkasa odvodu oproti roku 201</w:t>
      </w:r>
      <w:r w:rsidR="00661C28">
        <w:rPr>
          <w:rFonts w:ascii="Times New Roman" w:hAnsi="Times New Roman"/>
          <w:sz w:val="24"/>
        </w:rPr>
        <w:t>4</w:t>
      </w:r>
      <w:r w:rsidR="0007030E">
        <w:rPr>
          <w:rFonts w:ascii="Times New Roman" w:hAnsi="Times New Roman"/>
          <w:sz w:val="24"/>
        </w:rPr>
        <w:t xml:space="preserve"> o 0,2 mld. Kč.</w:t>
      </w:r>
    </w:p>
    <w:p w:rsidR="0007030E" w:rsidRDefault="0007030E" w:rsidP="0007030E">
      <w:pPr>
        <w:pStyle w:val="Popisky"/>
        <w:spacing w:before="20" w:after="20"/>
        <w:ind w:firstLine="708"/>
        <w:jc w:val="both"/>
        <w:rPr>
          <w:rFonts w:ascii="Times New Roman" w:hAnsi="Times New Roman"/>
          <w:sz w:val="24"/>
        </w:rPr>
      </w:pPr>
    </w:p>
    <w:p w:rsidR="0007030E" w:rsidRDefault="0007030E" w:rsidP="0007030E">
      <w:pPr>
        <w:pStyle w:val="Popisky"/>
        <w:spacing w:before="20" w:after="20"/>
        <w:jc w:val="both"/>
        <w:rPr>
          <w:rFonts w:ascii="Times New Roman" w:hAnsi="Times New Roman"/>
          <w:sz w:val="24"/>
        </w:rPr>
      </w:pPr>
    </w:p>
    <w:p w:rsidR="0007030E" w:rsidRDefault="0007030E" w:rsidP="0007030E">
      <w:pPr>
        <w:pStyle w:val="Popisky"/>
        <w:spacing w:before="20" w:after="20"/>
        <w:ind w:firstLine="708"/>
        <w:rPr>
          <w:rFonts w:ascii="Times New Roman" w:hAnsi="Times New Roman"/>
          <w:b/>
          <w:sz w:val="24"/>
        </w:rPr>
      </w:pPr>
      <w:r>
        <w:rPr>
          <w:rFonts w:ascii="Times New Roman" w:hAnsi="Times New Roman"/>
          <w:b/>
          <w:sz w:val="24"/>
        </w:rPr>
        <w:t>Celoroční predikované inkaso sdílených daní</w:t>
      </w:r>
    </w:p>
    <w:p w:rsidR="0007030E" w:rsidRDefault="0007030E" w:rsidP="0007030E">
      <w:pPr>
        <w:pStyle w:val="Popisky"/>
        <w:spacing w:before="20" w:after="20"/>
        <w:ind w:firstLine="708"/>
        <w:jc w:val="both"/>
        <w:rPr>
          <w:rFonts w:ascii="Times New Roman" w:hAnsi="Times New Roman"/>
          <w:sz w:val="24"/>
        </w:rPr>
      </w:pPr>
      <w:r>
        <w:rPr>
          <w:rFonts w:ascii="Times New Roman" w:hAnsi="Times New Roman"/>
          <w:sz w:val="24"/>
        </w:rPr>
        <w:t>Meziroční vývoj inkas</w:t>
      </w:r>
      <w:r w:rsidR="008B3EFB">
        <w:rPr>
          <w:rFonts w:ascii="Times New Roman" w:hAnsi="Times New Roman"/>
          <w:sz w:val="24"/>
        </w:rPr>
        <w:t>a</w:t>
      </w:r>
      <w:r>
        <w:rPr>
          <w:rFonts w:ascii="Times New Roman" w:hAnsi="Times New Roman"/>
          <w:sz w:val="24"/>
        </w:rPr>
        <w:t xml:space="preserve"> sdílených daní v prvních čtyřech měsících je silně ovlivněn hlavně meziročně nižším inkasem u daně z přidané hodnoty. Jak již bylo výše uvedeno, tento negativní vliv bude v průběhu roku 2015 postupně odeznívat a meziroční inkaso daně z přidané hodnoty bude postupně narůstat. U daně z příjmů fyzických osob očekáváme přetrvávající negativní vliv v souvislosti se zpětnou výplatou základní slevy pro pracující důchodce. Nicméně celkově za všechny výše uvedené sdílené daně očekáváme meziroční nárůst inkasa o 5 mld. Kč.</w:t>
      </w:r>
    </w:p>
    <w:p w:rsidR="009E08D3" w:rsidRDefault="009E08D3" w:rsidP="0007030E">
      <w:pPr>
        <w:pStyle w:val="Popisky"/>
        <w:spacing w:before="20" w:after="20"/>
        <w:ind w:firstLine="708"/>
        <w:jc w:val="both"/>
        <w:rPr>
          <w:rFonts w:ascii="Times New Roman" w:hAnsi="Times New Roman"/>
          <w:sz w:val="24"/>
        </w:rPr>
      </w:pPr>
    </w:p>
    <w:p w:rsidR="008B3EFB" w:rsidRDefault="008B3EFB" w:rsidP="0007030E">
      <w:pPr>
        <w:pStyle w:val="Popisky"/>
        <w:spacing w:before="20" w:after="20"/>
        <w:ind w:firstLine="708"/>
        <w:jc w:val="both"/>
        <w:rPr>
          <w:rFonts w:ascii="Times New Roman" w:hAnsi="Times New Roman"/>
          <w:sz w:val="24"/>
        </w:rPr>
      </w:pPr>
    </w:p>
    <w:p w:rsidR="004D4132" w:rsidRDefault="004D4132" w:rsidP="0007030E">
      <w:pPr>
        <w:pStyle w:val="Popisky"/>
        <w:spacing w:before="20" w:after="20"/>
        <w:ind w:firstLine="708"/>
        <w:jc w:val="both"/>
        <w:rPr>
          <w:rFonts w:ascii="Times New Roman" w:hAnsi="Times New Roman"/>
          <w:sz w:val="24"/>
        </w:rPr>
      </w:pPr>
    </w:p>
    <w:p w:rsidR="00380C61" w:rsidRDefault="00380C61" w:rsidP="0007030E">
      <w:pPr>
        <w:pStyle w:val="Popisky"/>
        <w:spacing w:before="20" w:after="20"/>
        <w:ind w:firstLine="708"/>
        <w:jc w:val="both"/>
        <w:rPr>
          <w:rFonts w:ascii="Times New Roman" w:hAnsi="Times New Roman"/>
          <w:sz w:val="24"/>
        </w:rPr>
      </w:pPr>
    </w:p>
    <w:p w:rsidR="004D4132" w:rsidRDefault="004D4132" w:rsidP="0007030E">
      <w:pPr>
        <w:pStyle w:val="Popisky"/>
        <w:spacing w:before="20" w:after="20"/>
        <w:ind w:firstLine="708"/>
        <w:jc w:val="both"/>
        <w:rPr>
          <w:rFonts w:ascii="Times New Roman" w:hAnsi="Times New Roman"/>
          <w:sz w:val="24"/>
        </w:rPr>
      </w:pPr>
    </w:p>
    <w:p w:rsidR="004D4132" w:rsidRDefault="004D4132" w:rsidP="0007030E">
      <w:pPr>
        <w:pStyle w:val="Popisky"/>
        <w:spacing w:before="20" w:after="20"/>
        <w:ind w:firstLine="708"/>
        <w:jc w:val="both"/>
        <w:rPr>
          <w:rFonts w:ascii="Times New Roman" w:hAnsi="Times New Roman"/>
          <w:sz w:val="24"/>
        </w:rPr>
      </w:pPr>
    </w:p>
    <w:tbl>
      <w:tblPr>
        <w:tblW w:w="5000" w:type="pct"/>
        <w:tblCellMar>
          <w:left w:w="70" w:type="dxa"/>
          <w:right w:w="70" w:type="dxa"/>
        </w:tblCellMar>
        <w:tblLook w:val="04A0" w:firstRow="1" w:lastRow="0" w:firstColumn="1" w:lastColumn="0" w:noHBand="0" w:noVBand="1"/>
      </w:tblPr>
      <w:tblGrid>
        <w:gridCol w:w="1195"/>
        <w:gridCol w:w="2436"/>
        <w:gridCol w:w="732"/>
        <w:gridCol w:w="638"/>
        <w:gridCol w:w="774"/>
        <w:gridCol w:w="641"/>
        <w:gridCol w:w="574"/>
        <w:gridCol w:w="864"/>
        <w:gridCol w:w="1358"/>
      </w:tblGrid>
      <w:tr w:rsidR="0007030E" w:rsidTr="00A735B0">
        <w:trPr>
          <w:trHeight w:val="315"/>
        </w:trPr>
        <w:tc>
          <w:tcPr>
            <w:tcW w:w="1487" w:type="pct"/>
            <w:gridSpan w:val="2"/>
            <w:vMerge w:val="restart"/>
            <w:tcBorders>
              <w:top w:val="single" w:sz="8" w:space="0" w:color="auto"/>
              <w:left w:val="single" w:sz="8" w:space="0" w:color="auto"/>
              <w:bottom w:val="single" w:sz="8" w:space="0" w:color="000000"/>
              <w:right w:val="single" w:sz="8" w:space="0" w:color="000000"/>
            </w:tcBorders>
            <w:noWrap/>
            <w:vAlign w:val="center"/>
            <w:hideMark/>
          </w:tcPr>
          <w:p w:rsidR="0007030E" w:rsidRDefault="0007030E">
            <w:pPr>
              <w:jc w:val="center"/>
              <w:rPr>
                <w:rFonts w:ascii="Arial" w:hAnsi="Arial" w:cs="Arial"/>
                <w:b/>
                <w:bCs/>
                <w:color w:val="000000"/>
              </w:rPr>
            </w:pPr>
            <w:r>
              <w:rPr>
                <w:rFonts w:ascii="Arial" w:hAnsi="Arial" w:cs="Arial"/>
                <w:b/>
                <w:bCs/>
                <w:color w:val="000000"/>
              </w:rPr>
              <w:lastRenderedPageBreak/>
              <w:t>Daňový příjem obcí a krajů v mld. Kč</w:t>
            </w:r>
          </w:p>
        </w:tc>
        <w:tc>
          <w:tcPr>
            <w:tcW w:w="1264" w:type="pct"/>
            <w:gridSpan w:val="3"/>
            <w:tcBorders>
              <w:top w:val="single" w:sz="8" w:space="0" w:color="auto"/>
              <w:left w:val="nil"/>
              <w:bottom w:val="single" w:sz="8" w:space="0" w:color="auto"/>
              <w:right w:val="single" w:sz="8" w:space="0" w:color="000000"/>
            </w:tcBorders>
            <w:shd w:val="clear" w:color="auto" w:fill="FFFF99"/>
            <w:noWrap/>
            <w:vAlign w:val="center"/>
            <w:hideMark/>
          </w:tcPr>
          <w:p w:rsidR="0007030E" w:rsidRDefault="0007030E">
            <w:pPr>
              <w:jc w:val="center"/>
              <w:rPr>
                <w:rFonts w:ascii="Arial" w:hAnsi="Arial" w:cs="Arial"/>
                <w:b/>
                <w:bCs/>
                <w:color w:val="000000"/>
              </w:rPr>
            </w:pPr>
            <w:r>
              <w:rPr>
                <w:rFonts w:ascii="Arial" w:hAnsi="Arial" w:cs="Arial"/>
                <w:b/>
                <w:bCs/>
                <w:color w:val="000000"/>
              </w:rPr>
              <w:t>Skutečnost rok 2014</w:t>
            </w:r>
          </w:p>
        </w:tc>
        <w:tc>
          <w:tcPr>
            <w:tcW w:w="1443" w:type="pct"/>
            <w:gridSpan w:val="3"/>
            <w:tcBorders>
              <w:top w:val="single" w:sz="8" w:space="0" w:color="auto"/>
              <w:left w:val="nil"/>
              <w:bottom w:val="nil"/>
              <w:right w:val="single" w:sz="8" w:space="0" w:color="000000"/>
            </w:tcBorders>
            <w:shd w:val="clear" w:color="auto" w:fill="FFFF99"/>
            <w:noWrap/>
            <w:vAlign w:val="center"/>
            <w:hideMark/>
          </w:tcPr>
          <w:p w:rsidR="0007030E" w:rsidRDefault="0007030E">
            <w:pPr>
              <w:jc w:val="center"/>
              <w:rPr>
                <w:rFonts w:ascii="Arial" w:hAnsi="Arial" w:cs="Arial"/>
                <w:b/>
                <w:bCs/>
                <w:color w:val="000000"/>
              </w:rPr>
            </w:pPr>
            <w:r>
              <w:rPr>
                <w:rFonts w:ascii="Arial" w:hAnsi="Arial" w:cs="Arial"/>
                <w:b/>
                <w:bCs/>
                <w:color w:val="000000"/>
              </w:rPr>
              <w:t>Predikce rok 2015</w:t>
            </w:r>
          </w:p>
        </w:tc>
        <w:tc>
          <w:tcPr>
            <w:tcW w:w="806" w:type="pct"/>
            <w:vMerge w:val="restart"/>
            <w:tcBorders>
              <w:top w:val="single" w:sz="8" w:space="0" w:color="auto"/>
              <w:left w:val="single" w:sz="8" w:space="0" w:color="auto"/>
              <w:bottom w:val="single" w:sz="8" w:space="0" w:color="000000"/>
              <w:right w:val="single" w:sz="8" w:space="0" w:color="auto"/>
            </w:tcBorders>
            <w:vAlign w:val="center"/>
            <w:hideMark/>
          </w:tcPr>
          <w:p w:rsidR="0007030E" w:rsidRDefault="0007030E">
            <w:pPr>
              <w:jc w:val="center"/>
              <w:rPr>
                <w:rFonts w:ascii="Arial" w:hAnsi="Arial" w:cs="Arial"/>
                <w:b/>
                <w:color w:val="000000"/>
              </w:rPr>
            </w:pPr>
            <w:r>
              <w:rPr>
                <w:rFonts w:ascii="Arial" w:hAnsi="Arial" w:cs="Arial"/>
                <w:b/>
                <w:color w:val="000000"/>
              </w:rPr>
              <w:t xml:space="preserve">rozdíl      </w:t>
            </w:r>
          </w:p>
          <w:p w:rsidR="0007030E" w:rsidRDefault="00A735B0">
            <w:pPr>
              <w:jc w:val="center"/>
              <w:rPr>
                <w:rFonts w:ascii="Arial" w:hAnsi="Arial" w:cs="Arial"/>
                <w:color w:val="000000"/>
              </w:rPr>
            </w:pPr>
            <w:r>
              <w:rPr>
                <w:rFonts w:ascii="Arial" w:hAnsi="Arial" w:cs="Arial"/>
                <w:b/>
                <w:color w:val="000000"/>
              </w:rPr>
              <w:t xml:space="preserve"> (2015-</w:t>
            </w:r>
            <w:r w:rsidR="0007030E">
              <w:rPr>
                <w:rFonts w:ascii="Arial" w:hAnsi="Arial" w:cs="Arial"/>
                <w:b/>
                <w:color w:val="000000"/>
              </w:rPr>
              <w:t>2014)</w:t>
            </w:r>
          </w:p>
        </w:tc>
      </w:tr>
      <w:tr w:rsidR="0007030E" w:rsidTr="00DF7492">
        <w:trPr>
          <w:trHeight w:val="315"/>
        </w:trPr>
        <w:tc>
          <w:tcPr>
            <w:tcW w:w="1487" w:type="pct"/>
            <w:gridSpan w:val="2"/>
            <w:vMerge/>
            <w:tcBorders>
              <w:top w:val="single" w:sz="8" w:space="0" w:color="auto"/>
              <w:left w:val="single" w:sz="8" w:space="0" w:color="auto"/>
              <w:bottom w:val="single" w:sz="8" w:space="0" w:color="000000"/>
              <w:right w:val="single" w:sz="8" w:space="0" w:color="000000"/>
            </w:tcBorders>
            <w:vAlign w:val="center"/>
            <w:hideMark/>
          </w:tcPr>
          <w:p w:rsidR="0007030E" w:rsidRDefault="0007030E">
            <w:pPr>
              <w:rPr>
                <w:rFonts w:ascii="Arial" w:hAnsi="Arial" w:cs="Arial"/>
                <w:b/>
                <w:bCs/>
                <w:color w:val="000000"/>
              </w:rPr>
            </w:pPr>
          </w:p>
        </w:tc>
        <w:tc>
          <w:tcPr>
            <w:tcW w:w="443" w:type="pct"/>
            <w:tcBorders>
              <w:top w:val="nil"/>
              <w:left w:val="nil"/>
              <w:bottom w:val="single" w:sz="8" w:space="0" w:color="auto"/>
              <w:right w:val="single" w:sz="8" w:space="0" w:color="auto"/>
            </w:tcBorders>
            <w:noWrap/>
            <w:vAlign w:val="center"/>
            <w:hideMark/>
          </w:tcPr>
          <w:p w:rsidR="0007030E" w:rsidRDefault="0007030E">
            <w:pPr>
              <w:jc w:val="center"/>
              <w:rPr>
                <w:rFonts w:ascii="Arial" w:hAnsi="Arial" w:cs="Arial"/>
                <w:color w:val="000000"/>
              </w:rPr>
            </w:pPr>
            <w:r>
              <w:rPr>
                <w:rFonts w:ascii="Arial" w:hAnsi="Arial" w:cs="Arial"/>
                <w:color w:val="000000"/>
              </w:rPr>
              <w:t>obce</w:t>
            </w:r>
          </w:p>
        </w:tc>
        <w:tc>
          <w:tcPr>
            <w:tcW w:w="387" w:type="pct"/>
            <w:tcBorders>
              <w:top w:val="nil"/>
              <w:left w:val="nil"/>
              <w:bottom w:val="single" w:sz="8" w:space="0" w:color="auto"/>
              <w:right w:val="single" w:sz="8" w:space="0" w:color="auto"/>
            </w:tcBorders>
            <w:noWrap/>
            <w:vAlign w:val="center"/>
            <w:hideMark/>
          </w:tcPr>
          <w:p w:rsidR="0007030E" w:rsidRDefault="0007030E">
            <w:pPr>
              <w:jc w:val="center"/>
              <w:rPr>
                <w:rFonts w:ascii="Arial" w:hAnsi="Arial" w:cs="Arial"/>
                <w:color w:val="000000"/>
              </w:rPr>
            </w:pPr>
            <w:r>
              <w:rPr>
                <w:rFonts w:ascii="Arial" w:hAnsi="Arial" w:cs="Arial"/>
                <w:color w:val="000000"/>
              </w:rPr>
              <w:t>kraje</w:t>
            </w:r>
          </w:p>
        </w:tc>
        <w:tc>
          <w:tcPr>
            <w:tcW w:w="433" w:type="pct"/>
            <w:tcBorders>
              <w:top w:val="nil"/>
              <w:left w:val="nil"/>
              <w:bottom w:val="single" w:sz="8" w:space="0" w:color="auto"/>
              <w:right w:val="single" w:sz="8" w:space="0" w:color="auto"/>
            </w:tcBorders>
            <w:noWrap/>
            <w:vAlign w:val="center"/>
            <w:hideMark/>
          </w:tcPr>
          <w:p w:rsidR="0007030E" w:rsidRDefault="0007030E">
            <w:pPr>
              <w:jc w:val="center"/>
              <w:rPr>
                <w:rFonts w:ascii="Arial" w:hAnsi="Arial" w:cs="Arial"/>
                <w:color w:val="000000"/>
              </w:rPr>
            </w:pPr>
            <w:r>
              <w:rPr>
                <w:rFonts w:ascii="Arial" w:hAnsi="Arial" w:cs="Arial"/>
                <w:color w:val="000000"/>
              </w:rPr>
              <w:t>celkem</w:t>
            </w:r>
          </w:p>
        </w:tc>
        <w:tc>
          <w:tcPr>
            <w:tcW w:w="433" w:type="pct"/>
            <w:tcBorders>
              <w:top w:val="single" w:sz="8" w:space="0" w:color="auto"/>
              <w:left w:val="nil"/>
              <w:bottom w:val="single" w:sz="8" w:space="0" w:color="auto"/>
              <w:right w:val="single" w:sz="4" w:space="0" w:color="auto"/>
            </w:tcBorders>
            <w:noWrap/>
            <w:vAlign w:val="center"/>
            <w:hideMark/>
          </w:tcPr>
          <w:p w:rsidR="0007030E" w:rsidRDefault="0007030E">
            <w:pPr>
              <w:jc w:val="center"/>
              <w:rPr>
                <w:rFonts w:ascii="Arial" w:hAnsi="Arial" w:cs="Arial"/>
                <w:color w:val="000000"/>
              </w:rPr>
            </w:pPr>
            <w:r>
              <w:rPr>
                <w:rFonts w:ascii="Arial" w:hAnsi="Arial" w:cs="Arial"/>
                <w:color w:val="000000"/>
              </w:rPr>
              <w:t>obce</w:t>
            </w:r>
          </w:p>
        </w:tc>
        <w:tc>
          <w:tcPr>
            <w:tcW w:w="433" w:type="pct"/>
            <w:tcBorders>
              <w:top w:val="single" w:sz="4" w:space="0" w:color="auto"/>
              <w:left w:val="single" w:sz="4" w:space="0" w:color="auto"/>
              <w:bottom w:val="single" w:sz="4" w:space="0" w:color="auto"/>
              <w:right w:val="single" w:sz="4" w:space="0" w:color="auto"/>
            </w:tcBorders>
            <w:noWrap/>
            <w:vAlign w:val="center"/>
            <w:hideMark/>
          </w:tcPr>
          <w:p w:rsidR="0007030E" w:rsidRDefault="0007030E">
            <w:pPr>
              <w:jc w:val="center"/>
              <w:rPr>
                <w:rFonts w:ascii="Arial" w:hAnsi="Arial" w:cs="Arial"/>
                <w:color w:val="000000"/>
              </w:rPr>
            </w:pPr>
            <w:r>
              <w:rPr>
                <w:rFonts w:ascii="Arial" w:hAnsi="Arial" w:cs="Arial"/>
                <w:color w:val="000000"/>
              </w:rPr>
              <w:t>kraje</w:t>
            </w:r>
          </w:p>
        </w:tc>
        <w:tc>
          <w:tcPr>
            <w:tcW w:w="577" w:type="pct"/>
            <w:tcBorders>
              <w:top w:val="single" w:sz="8" w:space="0" w:color="auto"/>
              <w:left w:val="single" w:sz="4" w:space="0" w:color="auto"/>
              <w:bottom w:val="single" w:sz="8" w:space="0" w:color="auto"/>
              <w:right w:val="single" w:sz="8" w:space="0" w:color="auto"/>
            </w:tcBorders>
            <w:noWrap/>
            <w:vAlign w:val="center"/>
            <w:hideMark/>
          </w:tcPr>
          <w:p w:rsidR="0007030E" w:rsidRDefault="0007030E">
            <w:pPr>
              <w:jc w:val="center"/>
              <w:rPr>
                <w:rFonts w:ascii="Arial" w:hAnsi="Arial" w:cs="Arial"/>
                <w:color w:val="000000"/>
              </w:rPr>
            </w:pPr>
            <w:r>
              <w:rPr>
                <w:rFonts w:ascii="Arial" w:hAnsi="Arial" w:cs="Arial"/>
                <w:color w:val="000000"/>
              </w:rPr>
              <w:t>celkem</w:t>
            </w:r>
          </w:p>
        </w:tc>
        <w:tc>
          <w:tcPr>
            <w:tcW w:w="806" w:type="pct"/>
            <w:vMerge/>
            <w:tcBorders>
              <w:top w:val="single" w:sz="8" w:space="0" w:color="auto"/>
              <w:left w:val="single" w:sz="8" w:space="0" w:color="auto"/>
              <w:bottom w:val="single" w:sz="8" w:space="0" w:color="000000"/>
              <w:right w:val="single" w:sz="8" w:space="0" w:color="auto"/>
            </w:tcBorders>
            <w:vAlign w:val="center"/>
            <w:hideMark/>
          </w:tcPr>
          <w:p w:rsidR="0007030E" w:rsidRDefault="0007030E">
            <w:pPr>
              <w:rPr>
                <w:rFonts w:ascii="Arial" w:hAnsi="Arial" w:cs="Arial"/>
                <w:color w:val="000000"/>
              </w:rPr>
            </w:pPr>
          </w:p>
        </w:tc>
      </w:tr>
      <w:tr w:rsidR="0007030E" w:rsidTr="00A735B0">
        <w:trPr>
          <w:trHeight w:val="300"/>
        </w:trPr>
        <w:tc>
          <w:tcPr>
            <w:tcW w:w="489" w:type="pct"/>
            <w:tcBorders>
              <w:top w:val="nil"/>
              <w:left w:val="single" w:sz="8" w:space="0" w:color="000000"/>
              <w:bottom w:val="nil"/>
              <w:right w:val="nil"/>
            </w:tcBorders>
            <w:noWrap/>
            <w:vAlign w:val="bottom"/>
            <w:hideMark/>
          </w:tcPr>
          <w:p w:rsidR="0007030E" w:rsidRPr="00A735B0" w:rsidRDefault="0007030E">
            <w:pPr>
              <w:rPr>
                <w:rFonts w:ascii="Arial" w:hAnsi="Arial" w:cs="Arial"/>
                <w:color w:val="000000"/>
              </w:rPr>
            </w:pPr>
            <w:r w:rsidRPr="00A735B0">
              <w:rPr>
                <w:rFonts w:ascii="Arial" w:hAnsi="Arial" w:cs="Arial"/>
                <w:color w:val="000000"/>
              </w:rPr>
              <w:t>DPH</w:t>
            </w:r>
          </w:p>
        </w:tc>
        <w:tc>
          <w:tcPr>
            <w:tcW w:w="998" w:type="pct"/>
            <w:tcBorders>
              <w:top w:val="nil"/>
              <w:left w:val="nil"/>
              <w:bottom w:val="nil"/>
              <w:right w:val="single" w:sz="8" w:space="0" w:color="000000"/>
            </w:tcBorders>
            <w:noWrap/>
            <w:vAlign w:val="bottom"/>
            <w:hideMark/>
          </w:tcPr>
          <w:p w:rsidR="0007030E" w:rsidRDefault="0007030E">
            <w:pPr>
              <w:rPr>
                <w:rFonts w:ascii="Calibri" w:hAnsi="Calibri"/>
                <w:color w:val="000000"/>
                <w:sz w:val="22"/>
                <w:szCs w:val="22"/>
              </w:rPr>
            </w:pPr>
            <w:r>
              <w:rPr>
                <w:rFonts w:ascii="Calibri" w:hAnsi="Calibri"/>
                <w:color w:val="000000"/>
                <w:sz w:val="22"/>
                <w:szCs w:val="22"/>
              </w:rPr>
              <w:t> </w:t>
            </w:r>
          </w:p>
        </w:tc>
        <w:tc>
          <w:tcPr>
            <w:tcW w:w="443"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67,3</w:t>
            </w:r>
          </w:p>
        </w:tc>
        <w:tc>
          <w:tcPr>
            <w:tcW w:w="387"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25,4</w:t>
            </w:r>
          </w:p>
        </w:tc>
        <w:tc>
          <w:tcPr>
            <w:tcW w:w="433"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92,7</w:t>
            </w:r>
          </w:p>
        </w:tc>
        <w:tc>
          <w:tcPr>
            <w:tcW w:w="433"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67,6</w:t>
            </w:r>
          </w:p>
        </w:tc>
        <w:tc>
          <w:tcPr>
            <w:tcW w:w="433"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25,5</w:t>
            </w:r>
          </w:p>
        </w:tc>
        <w:tc>
          <w:tcPr>
            <w:tcW w:w="577"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93,1</w:t>
            </w:r>
          </w:p>
        </w:tc>
        <w:tc>
          <w:tcPr>
            <w:tcW w:w="806"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0,4</w:t>
            </w:r>
          </w:p>
        </w:tc>
      </w:tr>
      <w:tr w:rsidR="0007030E" w:rsidTr="00A735B0">
        <w:trPr>
          <w:trHeight w:val="300"/>
        </w:trPr>
        <w:tc>
          <w:tcPr>
            <w:tcW w:w="489" w:type="pct"/>
            <w:tcBorders>
              <w:top w:val="nil"/>
              <w:left w:val="single" w:sz="8" w:space="0" w:color="000000"/>
              <w:bottom w:val="nil"/>
              <w:right w:val="nil"/>
            </w:tcBorders>
            <w:noWrap/>
            <w:vAlign w:val="bottom"/>
            <w:hideMark/>
          </w:tcPr>
          <w:p w:rsidR="0007030E" w:rsidRPr="00A735B0" w:rsidRDefault="0007030E">
            <w:pPr>
              <w:rPr>
                <w:rFonts w:ascii="Arial" w:hAnsi="Arial" w:cs="Arial"/>
                <w:color w:val="000000"/>
              </w:rPr>
            </w:pPr>
            <w:r w:rsidRPr="00A735B0">
              <w:rPr>
                <w:rFonts w:ascii="Arial" w:hAnsi="Arial" w:cs="Arial"/>
                <w:color w:val="000000"/>
              </w:rPr>
              <w:t>DPPO</w:t>
            </w:r>
          </w:p>
        </w:tc>
        <w:tc>
          <w:tcPr>
            <w:tcW w:w="998" w:type="pct"/>
            <w:tcBorders>
              <w:top w:val="nil"/>
              <w:left w:val="nil"/>
              <w:bottom w:val="nil"/>
              <w:right w:val="single" w:sz="8" w:space="0" w:color="000000"/>
            </w:tcBorders>
            <w:noWrap/>
            <w:vAlign w:val="bottom"/>
            <w:hideMark/>
          </w:tcPr>
          <w:p w:rsidR="0007030E" w:rsidRDefault="0007030E">
            <w:pPr>
              <w:rPr>
                <w:rFonts w:ascii="Calibri" w:hAnsi="Calibri"/>
                <w:color w:val="000000"/>
                <w:sz w:val="22"/>
                <w:szCs w:val="22"/>
              </w:rPr>
            </w:pPr>
            <w:r>
              <w:rPr>
                <w:rFonts w:ascii="Calibri" w:hAnsi="Calibri"/>
                <w:color w:val="000000"/>
                <w:sz w:val="22"/>
                <w:szCs w:val="22"/>
              </w:rPr>
              <w:t> </w:t>
            </w:r>
          </w:p>
        </w:tc>
        <w:tc>
          <w:tcPr>
            <w:tcW w:w="443"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31,2</w:t>
            </w:r>
          </w:p>
        </w:tc>
        <w:tc>
          <w:tcPr>
            <w:tcW w:w="387"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11,8</w:t>
            </w:r>
          </w:p>
        </w:tc>
        <w:tc>
          <w:tcPr>
            <w:tcW w:w="433"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43</w:t>
            </w:r>
            <w:r w:rsidR="00C64766">
              <w:rPr>
                <w:rFonts w:ascii="Arial" w:hAnsi="Arial" w:cs="Arial"/>
                <w:b/>
                <w:bCs/>
                <w:color w:val="000000"/>
              </w:rPr>
              <w:t>,0</w:t>
            </w:r>
          </w:p>
        </w:tc>
        <w:tc>
          <w:tcPr>
            <w:tcW w:w="433"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32,4</w:t>
            </w:r>
          </w:p>
        </w:tc>
        <w:tc>
          <w:tcPr>
            <w:tcW w:w="433"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12,2</w:t>
            </w:r>
          </w:p>
        </w:tc>
        <w:tc>
          <w:tcPr>
            <w:tcW w:w="577"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44,6</w:t>
            </w:r>
          </w:p>
        </w:tc>
        <w:tc>
          <w:tcPr>
            <w:tcW w:w="806"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1,6</w:t>
            </w:r>
          </w:p>
        </w:tc>
      </w:tr>
      <w:tr w:rsidR="0007030E" w:rsidTr="00A735B0">
        <w:trPr>
          <w:trHeight w:val="300"/>
        </w:trPr>
        <w:tc>
          <w:tcPr>
            <w:tcW w:w="1487" w:type="pct"/>
            <w:gridSpan w:val="2"/>
            <w:tcBorders>
              <w:top w:val="nil"/>
              <w:left w:val="single" w:sz="8" w:space="0" w:color="000000"/>
              <w:bottom w:val="nil"/>
              <w:right w:val="single" w:sz="8" w:space="0" w:color="000000"/>
            </w:tcBorders>
            <w:noWrap/>
            <w:vAlign w:val="center"/>
            <w:hideMark/>
          </w:tcPr>
          <w:p w:rsidR="0007030E" w:rsidRDefault="0007030E">
            <w:pPr>
              <w:rPr>
                <w:rFonts w:ascii="Arial" w:hAnsi="Arial" w:cs="Arial"/>
                <w:color w:val="000000"/>
              </w:rPr>
            </w:pPr>
            <w:r>
              <w:rPr>
                <w:rFonts w:ascii="Arial" w:hAnsi="Arial" w:cs="Arial"/>
                <w:color w:val="000000"/>
              </w:rPr>
              <w:t>DPFO celkem</w:t>
            </w:r>
          </w:p>
        </w:tc>
        <w:tc>
          <w:tcPr>
            <w:tcW w:w="443"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35,9</w:t>
            </w:r>
          </w:p>
        </w:tc>
        <w:tc>
          <w:tcPr>
            <w:tcW w:w="387"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12,7</w:t>
            </w:r>
          </w:p>
        </w:tc>
        <w:tc>
          <w:tcPr>
            <w:tcW w:w="433"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48,6</w:t>
            </w:r>
          </w:p>
        </w:tc>
        <w:tc>
          <w:tcPr>
            <w:tcW w:w="433"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38,4</w:t>
            </w:r>
          </w:p>
        </w:tc>
        <w:tc>
          <w:tcPr>
            <w:tcW w:w="433"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13,4</w:t>
            </w:r>
          </w:p>
        </w:tc>
        <w:tc>
          <w:tcPr>
            <w:tcW w:w="577"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51,8</w:t>
            </w:r>
          </w:p>
        </w:tc>
        <w:tc>
          <w:tcPr>
            <w:tcW w:w="806" w:type="pct"/>
            <w:tcBorders>
              <w:top w:val="nil"/>
              <w:left w:val="nil"/>
              <w:bottom w:val="nil"/>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3,2</w:t>
            </w:r>
          </w:p>
        </w:tc>
      </w:tr>
      <w:tr w:rsidR="0007030E" w:rsidTr="00A735B0">
        <w:trPr>
          <w:trHeight w:val="300"/>
        </w:trPr>
        <w:tc>
          <w:tcPr>
            <w:tcW w:w="489" w:type="pct"/>
            <w:tcBorders>
              <w:top w:val="nil"/>
              <w:left w:val="single" w:sz="8" w:space="0" w:color="000000"/>
              <w:bottom w:val="nil"/>
              <w:right w:val="nil"/>
            </w:tcBorders>
            <w:noWrap/>
            <w:vAlign w:val="center"/>
            <w:hideMark/>
          </w:tcPr>
          <w:p w:rsidR="0007030E" w:rsidRDefault="0007030E">
            <w:pPr>
              <w:rPr>
                <w:rFonts w:ascii="Arial" w:hAnsi="Arial" w:cs="Arial"/>
                <w:color w:val="000000"/>
              </w:rPr>
            </w:pPr>
            <w:r>
              <w:rPr>
                <w:rFonts w:ascii="Arial" w:hAnsi="Arial" w:cs="Arial"/>
                <w:color w:val="000000"/>
              </w:rPr>
              <w:t>v tom:</w:t>
            </w:r>
          </w:p>
        </w:tc>
        <w:tc>
          <w:tcPr>
            <w:tcW w:w="998" w:type="pct"/>
            <w:tcBorders>
              <w:top w:val="nil"/>
              <w:left w:val="nil"/>
              <w:bottom w:val="nil"/>
              <w:right w:val="single" w:sz="8" w:space="0" w:color="000000"/>
            </w:tcBorders>
            <w:noWrap/>
            <w:vAlign w:val="center"/>
            <w:hideMark/>
          </w:tcPr>
          <w:p w:rsidR="0007030E" w:rsidRDefault="0007030E">
            <w:pPr>
              <w:rPr>
                <w:rFonts w:ascii="Arial" w:hAnsi="Arial" w:cs="Arial"/>
                <w:color w:val="000000"/>
              </w:rPr>
            </w:pPr>
            <w:r>
              <w:rPr>
                <w:rFonts w:ascii="Arial" w:hAnsi="Arial" w:cs="Arial"/>
                <w:color w:val="000000"/>
              </w:rPr>
              <w:t>DPFO-zvl. sazba</w:t>
            </w:r>
          </w:p>
        </w:tc>
        <w:tc>
          <w:tcPr>
            <w:tcW w:w="443"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3,5</w:t>
            </w:r>
          </w:p>
        </w:tc>
        <w:tc>
          <w:tcPr>
            <w:tcW w:w="387"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1,3</w:t>
            </w:r>
          </w:p>
        </w:tc>
        <w:tc>
          <w:tcPr>
            <w:tcW w:w="433"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4,8</w:t>
            </w:r>
          </w:p>
        </w:tc>
        <w:tc>
          <w:tcPr>
            <w:tcW w:w="433"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3,5</w:t>
            </w:r>
          </w:p>
        </w:tc>
        <w:tc>
          <w:tcPr>
            <w:tcW w:w="433"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1,3</w:t>
            </w:r>
          </w:p>
        </w:tc>
        <w:tc>
          <w:tcPr>
            <w:tcW w:w="577"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4,8</w:t>
            </w:r>
          </w:p>
        </w:tc>
        <w:tc>
          <w:tcPr>
            <w:tcW w:w="806"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0,0</w:t>
            </w:r>
          </w:p>
        </w:tc>
      </w:tr>
      <w:tr w:rsidR="0007030E" w:rsidTr="00A735B0">
        <w:trPr>
          <w:trHeight w:val="300"/>
        </w:trPr>
        <w:tc>
          <w:tcPr>
            <w:tcW w:w="489" w:type="pct"/>
            <w:vMerge w:val="restart"/>
            <w:tcBorders>
              <w:top w:val="nil"/>
              <w:left w:val="single" w:sz="8" w:space="0" w:color="000000"/>
              <w:bottom w:val="nil"/>
              <w:right w:val="nil"/>
            </w:tcBorders>
            <w:textDirection w:val="btLr"/>
            <w:vAlign w:val="center"/>
            <w:hideMark/>
          </w:tcPr>
          <w:p w:rsidR="0007030E" w:rsidRDefault="0007030E">
            <w:pPr>
              <w:jc w:val="center"/>
              <w:rPr>
                <w:rFonts w:ascii="Arial" w:hAnsi="Arial" w:cs="Arial"/>
                <w:color w:val="FF0000"/>
              </w:rPr>
            </w:pPr>
            <w:r>
              <w:rPr>
                <w:rFonts w:ascii="Arial" w:hAnsi="Arial" w:cs="Arial"/>
                <w:color w:val="FF0000"/>
              </w:rPr>
              <w:t> </w:t>
            </w:r>
          </w:p>
        </w:tc>
        <w:tc>
          <w:tcPr>
            <w:tcW w:w="998" w:type="pct"/>
            <w:tcBorders>
              <w:top w:val="nil"/>
              <w:left w:val="nil"/>
              <w:bottom w:val="nil"/>
              <w:right w:val="single" w:sz="8" w:space="0" w:color="000000"/>
            </w:tcBorders>
            <w:noWrap/>
            <w:vAlign w:val="center"/>
            <w:hideMark/>
          </w:tcPr>
          <w:p w:rsidR="0007030E" w:rsidRDefault="0007030E">
            <w:pPr>
              <w:rPr>
                <w:rFonts w:ascii="Arial" w:hAnsi="Arial" w:cs="Arial"/>
                <w:color w:val="000000"/>
              </w:rPr>
            </w:pPr>
            <w:r>
              <w:rPr>
                <w:rFonts w:ascii="Arial" w:hAnsi="Arial" w:cs="Arial"/>
                <w:color w:val="000000"/>
              </w:rPr>
              <w:t>DPFO-z přiznání</w:t>
            </w:r>
          </w:p>
        </w:tc>
        <w:tc>
          <w:tcPr>
            <w:tcW w:w="443"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0,5</w:t>
            </w:r>
          </w:p>
        </w:tc>
        <w:tc>
          <w:tcPr>
            <w:tcW w:w="387"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0,1</w:t>
            </w:r>
          </w:p>
        </w:tc>
        <w:tc>
          <w:tcPr>
            <w:tcW w:w="433"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0,6</w:t>
            </w:r>
          </w:p>
        </w:tc>
        <w:tc>
          <w:tcPr>
            <w:tcW w:w="433"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1,3</w:t>
            </w:r>
          </w:p>
        </w:tc>
        <w:tc>
          <w:tcPr>
            <w:tcW w:w="433"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0,2</w:t>
            </w:r>
          </w:p>
        </w:tc>
        <w:tc>
          <w:tcPr>
            <w:tcW w:w="577"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1,5</w:t>
            </w:r>
          </w:p>
        </w:tc>
        <w:tc>
          <w:tcPr>
            <w:tcW w:w="806"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0,9</w:t>
            </w:r>
          </w:p>
        </w:tc>
      </w:tr>
      <w:tr w:rsidR="0007030E" w:rsidTr="00A735B0">
        <w:trPr>
          <w:trHeight w:val="300"/>
        </w:trPr>
        <w:tc>
          <w:tcPr>
            <w:tcW w:w="489" w:type="pct"/>
            <w:vMerge/>
            <w:tcBorders>
              <w:top w:val="nil"/>
              <w:left w:val="single" w:sz="8" w:space="0" w:color="000000"/>
              <w:bottom w:val="nil"/>
              <w:right w:val="nil"/>
            </w:tcBorders>
            <w:vAlign w:val="center"/>
            <w:hideMark/>
          </w:tcPr>
          <w:p w:rsidR="0007030E" w:rsidRDefault="0007030E">
            <w:pPr>
              <w:rPr>
                <w:rFonts w:ascii="Arial" w:hAnsi="Arial" w:cs="Arial"/>
                <w:color w:val="FF0000"/>
              </w:rPr>
            </w:pPr>
          </w:p>
        </w:tc>
        <w:tc>
          <w:tcPr>
            <w:tcW w:w="998" w:type="pct"/>
            <w:tcBorders>
              <w:top w:val="nil"/>
              <w:left w:val="nil"/>
              <w:bottom w:val="nil"/>
              <w:right w:val="single" w:sz="8" w:space="0" w:color="000000"/>
            </w:tcBorders>
            <w:noWrap/>
            <w:vAlign w:val="center"/>
            <w:hideMark/>
          </w:tcPr>
          <w:p w:rsidR="0007030E" w:rsidRDefault="0007030E">
            <w:pPr>
              <w:rPr>
                <w:rFonts w:ascii="Arial" w:hAnsi="Arial" w:cs="Arial"/>
                <w:color w:val="000000"/>
              </w:rPr>
            </w:pPr>
            <w:r>
              <w:rPr>
                <w:rFonts w:ascii="Arial" w:hAnsi="Arial" w:cs="Arial"/>
                <w:color w:val="000000"/>
              </w:rPr>
              <w:t>DPFO-závislá činnost</w:t>
            </w:r>
          </w:p>
        </w:tc>
        <w:tc>
          <w:tcPr>
            <w:tcW w:w="443"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31,9</w:t>
            </w:r>
          </w:p>
        </w:tc>
        <w:tc>
          <w:tcPr>
            <w:tcW w:w="387"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11,3</w:t>
            </w:r>
          </w:p>
        </w:tc>
        <w:tc>
          <w:tcPr>
            <w:tcW w:w="433"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43,2</w:t>
            </w:r>
          </w:p>
        </w:tc>
        <w:tc>
          <w:tcPr>
            <w:tcW w:w="433"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33,6</w:t>
            </w:r>
          </w:p>
        </w:tc>
        <w:tc>
          <w:tcPr>
            <w:tcW w:w="433"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11,9</w:t>
            </w:r>
          </w:p>
        </w:tc>
        <w:tc>
          <w:tcPr>
            <w:tcW w:w="577"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45,5</w:t>
            </w:r>
          </w:p>
        </w:tc>
        <w:tc>
          <w:tcPr>
            <w:tcW w:w="806" w:type="pct"/>
            <w:tcBorders>
              <w:top w:val="nil"/>
              <w:left w:val="nil"/>
              <w:bottom w:val="nil"/>
              <w:right w:val="single" w:sz="8" w:space="0" w:color="auto"/>
            </w:tcBorders>
            <w:noWrap/>
            <w:vAlign w:val="center"/>
            <w:hideMark/>
          </w:tcPr>
          <w:p w:rsidR="0007030E" w:rsidRDefault="0007030E">
            <w:pPr>
              <w:jc w:val="right"/>
              <w:rPr>
                <w:rFonts w:ascii="Arial" w:hAnsi="Arial" w:cs="Arial"/>
                <w:color w:val="000000"/>
              </w:rPr>
            </w:pPr>
            <w:r>
              <w:rPr>
                <w:rFonts w:ascii="Arial" w:hAnsi="Arial" w:cs="Arial"/>
                <w:color w:val="000000"/>
              </w:rPr>
              <w:t>2,3</w:t>
            </w:r>
          </w:p>
        </w:tc>
      </w:tr>
      <w:tr w:rsidR="0007030E" w:rsidTr="00A735B0">
        <w:trPr>
          <w:trHeight w:val="315"/>
        </w:trPr>
        <w:tc>
          <w:tcPr>
            <w:tcW w:w="1487" w:type="pct"/>
            <w:gridSpan w:val="2"/>
            <w:tcBorders>
              <w:top w:val="nil"/>
              <w:left w:val="single" w:sz="8" w:space="0" w:color="000000"/>
              <w:bottom w:val="single" w:sz="8" w:space="0" w:color="auto"/>
              <w:right w:val="single" w:sz="8" w:space="0" w:color="000000"/>
            </w:tcBorders>
            <w:shd w:val="clear" w:color="auto" w:fill="FFFFFF"/>
            <w:vAlign w:val="center"/>
            <w:hideMark/>
          </w:tcPr>
          <w:p w:rsidR="0007030E" w:rsidRDefault="0007030E">
            <w:pPr>
              <w:rPr>
                <w:rFonts w:ascii="Arial" w:hAnsi="Arial" w:cs="Arial"/>
                <w:color w:val="000000"/>
              </w:rPr>
            </w:pPr>
            <w:r>
              <w:rPr>
                <w:rFonts w:ascii="Arial" w:hAnsi="Arial" w:cs="Arial"/>
                <w:color w:val="000000"/>
              </w:rPr>
              <w:t>Odvod z loterií</w:t>
            </w:r>
          </w:p>
        </w:tc>
        <w:tc>
          <w:tcPr>
            <w:tcW w:w="443" w:type="pct"/>
            <w:tcBorders>
              <w:top w:val="nil"/>
              <w:left w:val="nil"/>
              <w:bottom w:val="single" w:sz="8" w:space="0" w:color="auto"/>
              <w:right w:val="nil"/>
            </w:tcBorders>
            <w:noWrap/>
            <w:vAlign w:val="center"/>
            <w:hideMark/>
          </w:tcPr>
          <w:p w:rsidR="0007030E" w:rsidRDefault="0007030E">
            <w:pPr>
              <w:jc w:val="right"/>
              <w:rPr>
                <w:rFonts w:ascii="Arial" w:hAnsi="Arial" w:cs="Arial"/>
                <w:b/>
                <w:bCs/>
                <w:color w:val="000000"/>
              </w:rPr>
            </w:pPr>
            <w:r>
              <w:rPr>
                <w:rFonts w:ascii="Arial" w:hAnsi="Arial" w:cs="Arial"/>
                <w:b/>
                <w:bCs/>
                <w:color w:val="000000"/>
              </w:rPr>
              <w:t>5,5</w:t>
            </w:r>
          </w:p>
        </w:tc>
        <w:tc>
          <w:tcPr>
            <w:tcW w:w="387" w:type="pct"/>
            <w:tcBorders>
              <w:top w:val="nil"/>
              <w:left w:val="single" w:sz="8" w:space="0" w:color="auto"/>
              <w:bottom w:val="single" w:sz="8" w:space="0" w:color="auto"/>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 </w:t>
            </w:r>
          </w:p>
        </w:tc>
        <w:tc>
          <w:tcPr>
            <w:tcW w:w="433" w:type="pct"/>
            <w:tcBorders>
              <w:top w:val="nil"/>
              <w:left w:val="nil"/>
              <w:bottom w:val="single" w:sz="8" w:space="0" w:color="auto"/>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5,5</w:t>
            </w:r>
          </w:p>
        </w:tc>
        <w:tc>
          <w:tcPr>
            <w:tcW w:w="433" w:type="pct"/>
            <w:tcBorders>
              <w:top w:val="nil"/>
              <w:left w:val="nil"/>
              <w:bottom w:val="single" w:sz="8" w:space="0" w:color="auto"/>
              <w:right w:val="nil"/>
            </w:tcBorders>
            <w:noWrap/>
            <w:vAlign w:val="center"/>
            <w:hideMark/>
          </w:tcPr>
          <w:p w:rsidR="0007030E" w:rsidRDefault="0007030E">
            <w:pPr>
              <w:jc w:val="right"/>
              <w:rPr>
                <w:rFonts w:ascii="Arial" w:hAnsi="Arial" w:cs="Arial"/>
                <w:b/>
                <w:bCs/>
                <w:color w:val="000000"/>
              </w:rPr>
            </w:pPr>
            <w:r>
              <w:rPr>
                <w:rFonts w:ascii="Arial" w:hAnsi="Arial" w:cs="Arial"/>
                <w:b/>
                <w:bCs/>
                <w:color w:val="000000"/>
              </w:rPr>
              <w:t>5,3</w:t>
            </w:r>
          </w:p>
        </w:tc>
        <w:tc>
          <w:tcPr>
            <w:tcW w:w="433" w:type="pct"/>
            <w:tcBorders>
              <w:top w:val="nil"/>
              <w:left w:val="single" w:sz="8" w:space="0" w:color="auto"/>
              <w:bottom w:val="single" w:sz="8" w:space="0" w:color="auto"/>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 </w:t>
            </w:r>
          </w:p>
        </w:tc>
        <w:tc>
          <w:tcPr>
            <w:tcW w:w="577" w:type="pct"/>
            <w:tcBorders>
              <w:top w:val="nil"/>
              <w:left w:val="nil"/>
              <w:bottom w:val="single" w:sz="8" w:space="0" w:color="auto"/>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5,3</w:t>
            </w:r>
          </w:p>
        </w:tc>
        <w:tc>
          <w:tcPr>
            <w:tcW w:w="806" w:type="pct"/>
            <w:tcBorders>
              <w:top w:val="nil"/>
              <w:left w:val="nil"/>
              <w:bottom w:val="single" w:sz="8" w:space="0" w:color="auto"/>
              <w:right w:val="single" w:sz="8" w:space="0" w:color="auto"/>
            </w:tcBorders>
            <w:noWrap/>
            <w:vAlign w:val="center"/>
            <w:hideMark/>
          </w:tcPr>
          <w:p w:rsidR="0007030E" w:rsidRDefault="0007030E">
            <w:pPr>
              <w:jc w:val="right"/>
              <w:rPr>
                <w:rFonts w:ascii="Arial" w:hAnsi="Arial" w:cs="Arial"/>
                <w:b/>
                <w:bCs/>
                <w:color w:val="000000"/>
              </w:rPr>
            </w:pPr>
            <w:r>
              <w:rPr>
                <w:rFonts w:ascii="Arial" w:hAnsi="Arial" w:cs="Arial"/>
                <w:b/>
                <w:bCs/>
                <w:color w:val="000000"/>
              </w:rPr>
              <w:t>-0,2</w:t>
            </w:r>
          </w:p>
        </w:tc>
      </w:tr>
      <w:tr w:rsidR="0007030E" w:rsidTr="00A735B0">
        <w:trPr>
          <w:trHeight w:val="315"/>
        </w:trPr>
        <w:tc>
          <w:tcPr>
            <w:tcW w:w="1487" w:type="pct"/>
            <w:gridSpan w:val="2"/>
            <w:tcBorders>
              <w:top w:val="single" w:sz="8" w:space="0" w:color="auto"/>
              <w:left w:val="single" w:sz="8" w:space="0" w:color="auto"/>
              <w:bottom w:val="single" w:sz="8" w:space="0" w:color="auto"/>
              <w:right w:val="single" w:sz="8" w:space="0" w:color="000000"/>
            </w:tcBorders>
            <w:shd w:val="clear" w:color="auto" w:fill="FFFFFF"/>
            <w:noWrap/>
            <w:vAlign w:val="center"/>
            <w:hideMark/>
          </w:tcPr>
          <w:p w:rsidR="0007030E" w:rsidRDefault="0007030E">
            <w:pPr>
              <w:rPr>
                <w:rFonts w:ascii="Arial" w:hAnsi="Arial" w:cs="Arial"/>
                <w:b/>
                <w:bCs/>
                <w:color w:val="000000"/>
              </w:rPr>
            </w:pPr>
            <w:r>
              <w:rPr>
                <w:rFonts w:ascii="Arial" w:hAnsi="Arial" w:cs="Arial"/>
                <w:b/>
                <w:bCs/>
                <w:color w:val="000000"/>
              </w:rPr>
              <w:t>Celkem daňové příjmy</w:t>
            </w:r>
          </w:p>
        </w:tc>
        <w:tc>
          <w:tcPr>
            <w:tcW w:w="443" w:type="pct"/>
            <w:tcBorders>
              <w:top w:val="nil"/>
              <w:left w:val="nil"/>
              <w:bottom w:val="single" w:sz="8" w:space="0" w:color="auto"/>
              <w:right w:val="single" w:sz="8" w:space="0" w:color="auto"/>
            </w:tcBorders>
            <w:shd w:val="clear" w:color="auto" w:fill="FFFFFF"/>
            <w:noWrap/>
            <w:vAlign w:val="center"/>
            <w:hideMark/>
          </w:tcPr>
          <w:p w:rsidR="0007030E" w:rsidRDefault="0007030E">
            <w:pPr>
              <w:jc w:val="right"/>
              <w:rPr>
                <w:rFonts w:ascii="Arial" w:hAnsi="Arial" w:cs="Arial"/>
                <w:b/>
                <w:bCs/>
                <w:color w:val="000000"/>
              </w:rPr>
            </w:pPr>
            <w:r>
              <w:rPr>
                <w:rFonts w:ascii="Arial" w:hAnsi="Arial" w:cs="Arial"/>
                <w:b/>
                <w:bCs/>
                <w:color w:val="000000"/>
              </w:rPr>
              <w:t>139,9</w:t>
            </w:r>
          </w:p>
        </w:tc>
        <w:tc>
          <w:tcPr>
            <w:tcW w:w="387" w:type="pct"/>
            <w:tcBorders>
              <w:top w:val="nil"/>
              <w:left w:val="nil"/>
              <w:bottom w:val="single" w:sz="8" w:space="0" w:color="auto"/>
              <w:right w:val="single" w:sz="8" w:space="0" w:color="auto"/>
            </w:tcBorders>
            <w:shd w:val="clear" w:color="auto" w:fill="FFFFFF"/>
            <w:noWrap/>
            <w:vAlign w:val="center"/>
            <w:hideMark/>
          </w:tcPr>
          <w:p w:rsidR="0007030E" w:rsidRDefault="0007030E">
            <w:pPr>
              <w:jc w:val="right"/>
              <w:rPr>
                <w:rFonts w:ascii="Arial" w:hAnsi="Arial" w:cs="Arial"/>
                <w:b/>
                <w:bCs/>
                <w:color w:val="000000"/>
              </w:rPr>
            </w:pPr>
            <w:r>
              <w:rPr>
                <w:rFonts w:ascii="Arial" w:hAnsi="Arial" w:cs="Arial"/>
                <w:b/>
                <w:bCs/>
                <w:color w:val="000000"/>
              </w:rPr>
              <w:t>49,9</w:t>
            </w:r>
          </w:p>
        </w:tc>
        <w:tc>
          <w:tcPr>
            <w:tcW w:w="433" w:type="pct"/>
            <w:tcBorders>
              <w:top w:val="nil"/>
              <w:left w:val="nil"/>
              <w:bottom w:val="single" w:sz="8" w:space="0" w:color="auto"/>
              <w:right w:val="single" w:sz="8" w:space="0" w:color="auto"/>
            </w:tcBorders>
            <w:shd w:val="clear" w:color="auto" w:fill="FFFFFF"/>
            <w:noWrap/>
            <w:vAlign w:val="center"/>
            <w:hideMark/>
          </w:tcPr>
          <w:p w:rsidR="0007030E" w:rsidRDefault="0007030E">
            <w:pPr>
              <w:jc w:val="right"/>
              <w:rPr>
                <w:rFonts w:ascii="Arial" w:hAnsi="Arial" w:cs="Arial"/>
                <w:b/>
                <w:bCs/>
                <w:color w:val="000000"/>
              </w:rPr>
            </w:pPr>
            <w:r>
              <w:rPr>
                <w:rFonts w:ascii="Arial" w:hAnsi="Arial" w:cs="Arial"/>
                <w:b/>
                <w:bCs/>
                <w:color w:val="000000"/>
              </w:rPr>
              <w:t>189,8</w:t>
            </w:r>
          </w:p>
        </w:tc>
        <w:tc>
          <w:tcPr>
            <w:tcW w:w="433" w:type="pct"/>
            <w:tcBorders>
              <w:top w:val="nil"/>
              <w:left w:val="nil"/>
              <w:bottom w:val="single" w:sz="8" w:space="0" w:color="auto"/>
              <w:right w:val="single" w:sz="8" w:space="0" w:color="auto"/>
            </w:tcBorders>
            <w:shd w:val="clear" w:color="auto" w:fill="FFFFFF"/>
            <w:noWrap/>
            <w:vAlign w:val="center"/>
            <w:hideMark/>
          </w:tcPr>
          <w:p w:rsidR="0007030E" w:rsidRDefault="0007030E">
            <w:pPr>
              <w:jc w:val="right"/>
              <w:rPr>
                <w:rFonts w:ascii="Arial" w:hAnsi="Arial" w:cs="Arial"/>
                <w:b/>
                <w:bCs/>
                <w:color w:val="000000"/>
              </w:rPr>
            </w:pPr>
            <w:r>
              <w:rPr>
                <w:rFonts w:ascii="Arial" w:hAnsi="Arial" w:cs="Arial"/>
                <w:b/>
                <w:bCs/>
                <w:color w:val="000000"/>
              </w:rPr>
              <w:t>143,7</w:t>
            </w:r>
          </w:p>
        </w:tc>
        <w:tc>
          <w:tcPr>
            <w:tcW w:w="433" w:type="pct"/>
            <w:tcBorders>
              <w:top w:val="nil"/>
              <w:left w:val="nil"/>
              <w:bottom w:val="single" w:sz="8" w:space="0" w:color="auto"/>
              <w:right w:val="single" w:sz="8" w:space="0" w:color="auto"/>
            </w:tcBorders>
            <w:shd w:val="clear" w:color="auto" w:fill="FFFFFF"/>
            <w:noWrap/>
            <w:vAlign w:val="center"/>
            <w:hideMark/>
          </w:tcPr>
          <w:p w:rsidR="0007030E" w:rsidRDefault="0007030E">
            <w:pPr>
              <w:jc w:val="right"/>
              <w:rPr>
                <w:rFonts w:ascii="Arial" w:hAnsi="Arial" w:cs="Arial"/>
                <w:b/>
                <w:bCs/>
                <w:color w:val="000000"/>
              </w:rPr>
            </w:pPr>
            <w:r>
              <w:rPr>
                <w:rFonts w:ascii="Arial" w:hAnsi="Arial" w:cs="Arial"/>
                <w:b/>
                <w:bCs/>
                <w:color w:val="000000"/>
              </w:rPr>
              <w:t>51,1</w:t>
            </w:r>
          </w:p>
        </w:tc>
        <w:tc>
          <w:tcPr>
            <w:tcW w:w="577" w:type="pct"/>
            <w:tcBorders>
              <w:top w:val="nil"/>
              <w:left w:val="nil"/>
              <w:bottom w:val="single" w:sz="8" w:space="0" w:color="auto"/>
              <w:right w:val="single" w:sz="8" w:space="0" w:color="auto"/>
            </w:tcBorders>
            <w:shd w:val="clear" w:color="auto" w:fill="FFFFFF"/>
            <w:noWrap/>
            <w:vAlign w:val="center"/>
            <w:hideMark/>
          </w:tcPr>
          <w:p w:rsidR="0007030E" w:rsidRDefault="0007030E">
            <w:pPr>
              <w:jc w:val="right"/>
              <w:rPr>
                <w:rFonts w:ascii="Arial" w:hAnsi="Arial" w:cs="Arial"/>
                <w:b/>
                <w:bCs/>
                <w:color w:val="000000"/>
              </w:rPr>
            </w:pPr>
            <w:r>
              <w:rPr>
                <w:rFonts w:ascii="Arial" w:hAnsi="Arial" w:cs="Arial"/>
                <w:b/>
                <w:bCs/>
                <w:color w:val="000000"/>
              </w:rPr>
              <w:t>194,8</w:t>
            </w:r>
          </w:p>
        </w:tc>
        <w:tc>
          <w:tcPr>
            <w:tcW w:w="806" w:type="pct"/>
            <w:tcBorders>
              <w:top w:val="nil"/>
              <w:left w:val="nil"/>
              <w:bottom w:val="single" w:sz="8" w:space="0" w:color="auto"/>
              <w:right w:val="single" w:sz="8" w:space="0" w:color="auto"/>
            </w:tcBorders>
            <w:shd w:val="clear" w:color="auto" w:fill="FFFFFF"/>
            <w:noWrap/>
            <w:vAlign w:val="center"/>
            <w:hideMark/>
          </w:tcPr>
          <w:p w:rsidR="0007030E" w:rsidRDefault="0007030E">
            <w:pPr>
              <w:jc w:val="right"/>
              <w:rPr>
                <w:rFonts w:ascii="Arial" w:hAnsi="Arial" w:cs="Arial"/>
                <w:b/>
                <w:bCs/>
                <w:color w:val="000000"/>
              </w:rPr>
            </w:pPr>
            <w:r>
              <w:rPr>
                <w:rFonts w:ascii="Arial" w:hAnsi="Arial" w:cs="Arial"/>
                <w:b/>
                <w:bCs/>
                <w:color w:val="000000"/>
              </w:rPr>
              <w:t>5,0</w:t>
            </w:r>
          </w:p>
        </w:tc>
      </w:tr>
    </w:tbl>
    <w:p w:rsidR="0007030E" w:rsidRDefault="0007030E" w:rsidP="0007030E">
      <w:pPr>
        <w:pStyle w:val="Popisky"/>
        <w:spacing w:before="20" w:after="20"/>
        <w:jc w:val="both"/>
        <w:rPr>
          <w:rFonts w:ascii="Calibri" w:hAnsi="Calibri" w:cs="Arial CE"/>
        </w:rPr>
      </w:pPr>
      <w:r>
        <w:rPr>
          <w:rFonts w:ascii="Calibri" w:hAnsi="Calibri" w:cs="Arial CE"/>
        </w:rPr>
        <w:t>*DPPO nezahrnuje daň placenou přímo obcemi a kraji. Rozdělení výnosů daní je uvedeno v ideálních částkách přesně odpovídajících rozpočtovému určení daní, nepřihlíží k částkám skutečně převedeným do místních rozpočtů. Hodnoty jsou zaokrouhleny.</w:t>
      </w:r>
    </w:p>
    <w:p w:rsidR="0007030E" w:rsidRDefault="0007030E" w:rsidP="0007030E">
      <w:pPr>
        <w:pStyle w:val="Popisky"/>
        <w:spacing w:before="20" w:after="20"/>
        <w:ind w:firstLine="708"/>
        <w:jc w:val="both"/>
        <w:rPr>
          <w:rFonts w:ascii="Times New Roman" w:hAnsi="Times New Roman"/>
          <w:sz w:val="24"/>
        </w:rPr>
      </w:pPr>
    </w:p>
    <w:p w:rsidR="0007030E" w:rsidRDefault="0007030E" w:rsidP="0007030E">
      <w:pPr>
        <w:pStyle w:val="Popisky"/>
        <w:spacing w:before="20" w:after="20"/>
        <w:ind w:firstLine="708"/>
        <w:rPr>
          <w:rFonts w:ascii="Times New Roman" w:hAnsi="Times New Roman"/>
          <w:b/>
          <w:sz w:val="24"/>
        </w:rPr>
      </w:pPr>
      <w:r>
        <w:rPr>
          <w:rFonts w:ascii="Times New Roman" w:hAnsi="Times New Roman"/>
          <w:b/>
          <w:sz w:val="24"/>
        </w:rPr>
        <w:t>Skutečně převedené částky daní do rozpočtu obcí a krajů ze sdílených daní</w:t>
      </w:r>
    </w:p>
    <w:p w:rsidR="0007030E" w:rsidRDefault="0007030E" w:rsidP="0007030E">
      <w:pPr>
        <w:pStyle w:val="Odstavecseseznamem"/>
        <w:ind w:left="0" w:firstLine="709"/>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Níže uvedená tabulka ilustruje skutečný převod inkas sdílených daní (daň z přidané hodnoty a daně z příjmů fyzických a právnických osob), které byly v prvních třech měsících převedeny obcím a krajům (skutečné převody za duben budou dostupné až koncem měsíce května).</w:t>
      </w:r>
    </w:p>
    <w:p w:rsidR="0007030E" w:rsidRPr="009E08D3" w:rsidRDefault="0007030E" w:rsidP="009E08D3">
      <w:pPr>
        <w:jc w:val="both"/>
        <w:rPr>
          <w:sz w:val="24"/>
        </w:rPr>
      </w:pPr>
      <w:r w:rsidRPr="009E08D3">
        <w:rPr>
          <w:sz w:val="24"/>
        </w:rPr>
        <w:t xml:space="preserve"> </w:t>
      </w:r>
    </w:p>
    <w:tbl>
      <w:tblPr>
        <w:tblW w:w="9087" w:type="dxa"/>
        <w:tblInd w:w="55" w:type="dxa"/>
        <w:tblCellMar>
          <w:left w:w="70" w:type="dxa"/>
          <w:right w:w="70" w:type="dxa"/>
        </w:tblCellMar>
        <w:tblLook w:val="04A0" w:firstRow="1" w:lastRow="0" w:firstColumn="1" w:lastColumn="0" w:noHBand="0" w:noVBand="1"/>
      </w:tblPr>
      <w:tblGrid>
        <w:gridCol w:w="2543"/>
        <w:gridCol w:w="377"/>
        <w:gridCol w:w="639"/>
        <w:gridCol w:w="709"/>
        <w:gridCol w:w="992"/>
        <w:gridCol w:w="709"/>
        <w:gridCol w:w="850"/>
        <w:gridCol w:w="993"/>
        <w:gridCol w:w="1275"/>
      </w:tblGrid>
      <w:tr w:rsidR="00144C00" w:rsidRPr="00451044" w:rsidTr="00A8529A">
        <w:trPr>
          <w:trHeight w:val="315"/>
        </w:trPr>
        <w:tc>
          <w:tcPr>
            <w:tcW w:w="292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144C00" w:rsidRPr="00451044" w:rsidRDefault="00144C00" w:rsidP="00574A5E">
            <w:pPr>
              <w:jc w:val="center"/>
              <w:rPr>
                <w:rFonts w:ascii="Arial" w:hAnsi="Arial" w:cs="Arial"/>
                <w:b/>
                <w:bCs/>
                <w:color w:val="000000"/>
              </w:rPr>
            </w:pPr>
            <w:r w:rsidRPr="00451044">
              <w:rPr>
                <w:rFonts w:ascii="Arial" w:hAnsi="Arial" w:cs="Arial"/>
                <w:b/>
                <w:bCs/>
                <w:color w:val="000000"/>
              </w:rPr>
              <w:t>Skutečně přeposlané inkaso obcím a krajům za první kvartál roku (v mld. Kč)</w:t>
            </w:r>
          </w:p>
        </w:tc>
        <w:tc>
          <w:tcPr>
            <w:tcW w:w="2340" w:type="dxa"/>
            <w:gridSpan w:val="3"/>
            <w:tcBorders>
              <w:top w:val="single" w:sz="8" w:space="0" w:color="auto"/>
              <w:left w:val="nil"/>
              <w:bottom w:val="single" w:sz="8" w:space="0" w:color="auto"/>
              <w:right w:val="single" w:sz="8" w:space="0" w:color="000000"/>
            </w:tcBorders>
            <w:shd w:val="clear" w:color="000000" w:fill="FFFF99"/>
            <w:noWrap/>
            <w:vAlign w:val="center"/>
            <w:hideMark/>
          </w:tcPr>
          <w:p w:rsidR="00144C00" w:rsidRPr="00451044" w:rsidRDefault="00144C00" w:rsidP="00574A5E">
            <w:pPr>
              <w:jc w:val="center"/>
              <w:rPr>
                <w:rFonts w:ascii="Arial" w:hAnsi="Arial" w:cs="Arial"/>
                <w:b/>
                <w:bCs/>
                <w:color w:val="000000"/>
              </w:rPr>
            </w:pPr>
            <w:r>
              <w:rPr>
                <w:rFonts w:ascii="Arial" w:hAnsi="Arial" w:cs="Arial"/>
                <w:b/>
                <w:bCs/>
                <w:color w:val="000000"/>
              </w:rPr>
              <w:t>1Q 20</w:t>
            </w:r>
            <w:r w:rsidRPr="00451044">
              <w:rPr>
                <w:rFonts w:ascii="Arial" w:hAnsi="Arial" w:cs="Arial"/>
                <w:b/>
                <w:bCs/>
                <w:color w:val="000000"/>
              </w:rPr>
              <w:t>14</w:t>
            </w:r>
          </w:p>
        </w:tc>
        <w:tc>
          <w:tcPr>
            <w:tcW w:w="2552" w:type="dxa"/>
            <w:gridSpan w:val="3"/>
            <w:tcBorders>
              <w:top w:val="single" w:sz="8" w:space="0" w:color="auto"/>
              <w:left w:val="nil"/>
              <w:bottom w:val="nil"/>
              <w:right w:val="single" w:sz="8" w:space="0" w:color="000000"/>
            </w:tcBorders>
            <w:shd w:val="clear" w:color="000000" w:fill="FFFF99"/>
            <w:noWrap/>
            <w:vAlign w:val="center"/>
            <w:hideMark/>
          </w:tcPr>
          <w:p w:rsidR="00144C00" w:rsidRPr="00451044" w:rsidRDefault="00144C00" w:rsidP="00574A5E">
            <w:pPr>
              <w:jc w:val="center"/>
              <w:rPr>
                <w:rFonts w:ascii="Arial" w:hAnsi="Arial" w:cs="Arial"/>
                <w:b/>
                <w:bCs/>
                <w:color w:val="000000"/>
              </w:rPr>
            </w:pPr>
            <w:r>
              <w:rPr>
                <w:rFonts w:ascii="Arial" w:hAnsi="Arial" w:cs="Arial"/>
                <w:b/>
                <w:bCs/>
                <w:color w:val="000000"/>
              </w:rPr>
              <w:t>1Q 20</w:t>
            </w:r>
            <w:r w:rsidRPr="00451044">
              <w:rPr>
                <w:rFonts w:ascii="Arial" w:hAnsi="Arial" w:cs="Arial"/>
                <w:b/>
                <w:bCs/>
                <w:color w:val="000000"/>
              </w:rPr>
              <w:t>15</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4C00" w:rsidRPr="003A5650" w:rsidRDefault="00144C00" w:rsidP="00574A5E">
            <w:pPr>
              <w:jc w:val="center"/>
              <w:rPr>
                <w:rFonts w:ascii="Arial" w:hAnsi="Arial" w:cs="Arial"/>
                <w:b/>
                <w:color w:val="000000"/>
              </w:rPr>
            </w:pPr>
            <w:r w:rsidRPr="003A5650">
              <w:rPr>
                <w:rFonts w:ascii="Arial" w:hAnsi="Arial" w:cs="Arial"/>
                <w:b/>
                <w:color w:val="000000"/>
              </w:rPr>
              <w:t xml:space="preserve">rozdíl      </w:t>
            </w:r>
          </w:p>
          <w:p w:rsidR="00144C00" w:rsidRPr="00451044" w:rsidRDefault="00144C00" w:rsidP="00574A5E">
            <w:pPr>
              <w:jc w:val="center"/>
              <w:rPr>
                <w:rFonts w:ascii="Arial" w:hAnsi="Arial" w:cs="Arial"/>
                <w:color w:val="000000"/>
              </w:rPr>
            </w:pPr>
            <w:r w:rsidRPr="003A5650">
              <w:rPr>
                <w:rFonts w:ascii="Arial" w:hAnsi="Arial" w:cs="Arial"/>
                <w:b/>
                <w:color w:val="000000"/>
              </w:rPr>
              <w:t xml:space="preserve"> (2015 - 2014)</w:t>
            </w:r>
          </w:p>
        </w:tc>
      </w:tr>
      <w:tr w:rsidR="00144C00" w:rsidRPr="00451044" w:rsidTr="00A8529A">
        <w:trPr>
          <w:trHeight w:val="315"/>
        </w:trPr>
        <w:tc>
          <w:tcPr>
            <w:tcW w:w="2920" w:type="dxa"/>
            <w:gridSpan w:val="2"/>
            <w:vMerge/>
            <w:tcBorders>
              <w:top w:val="single" w:sz="8" w:space="0" w:color="auto"/>
              <w:left w:val="single" w:sz="8" w:space="0" w:color="auto"/>
              <w:bottom w:val="single" w:sz="8" w:space="0" w:color="000000"/>
              <w:right w:val="single" w:sz="8" w:space="0" w:color="000000"/>
            </w:tcBorders>
            <w:vAlign w:val="center"/>
            <w:hideMark/>
          </w:tcPr>
          <w:p w:rsidR="00144C00" w:rsidRPr="00451044" w:rsidRDefault="00144C00" w:rsidP="00574A5E">
            <w:pPr>
              <w:rPr>
                <w:rFonts w:ascii="Arial" w:hAnsi="Arial" w:cs="Arial"/>
                <w:b/>
                <w:bCs/>
                <w:color w:val="000000"/>
              </w:rPr>
            </w:pPr>
          </w:p>
        </w:tc>
        <w:tc>
          <w:tcPr>
            <w:tcW w:w="639" w:type="dxa"/>
            <w:tcBorders>
              <w:top w:val="nil"/>
              <w:left w:val="nil"/>
              <w:bottom w:val="single" w:sz="8" w:space="0" w:color="auto"/>
              <w:right w:val="single" w:sz="8" w:space="0" w:color="auto"/>
            </w:tcBorders>
            <w:shd w:val="clear" w:color="auto" w:fill="auto"/>
            <w:noWrap/>
            <w:vAlign w:val="center"/>
            <w:hideMark/>
          </w:tcPr>
          <w:p w:rsidR="00144C00" w:rsidRPr="00451044" w:rsidRDefault="00144C00" w:rsidP="00574A5E">
            <w:pPr>
              <w:jc w:val="center"/>
              <w:rPr>
                <w:rFonts w:ascii="Arial" w:hAnsi="Arial" w:cs="Arial"/>
                <w:color w:val="000000"/>
              </w:rPr>
            </w:pPr>
            <w:r w:rsidRPr="00451044">
              <w:rPr>
                <w:rFonts w:ascii="Arial" w:hAnsi="Arial" w:cs="Arial"/>
                <w:color w:val="000000"/>
              </w:rPr>
              <w:t>obce</w:t>
            </w:r>
          </w:p>
        </w:tc>
        <w:tc>
          <w:tcPr>
            <w:tcW w:w="709" w:type="dxa"/>
            <w:tcBorders>
              <w:top w:val="nil"/>
              <w:left w:val="nil"/>
              <w:bottom w:val="single" w:sz="8" w:space="0" w:color="auto"/>
              <w:right w:val="single" w:sz="8" w:space="0" w:color="auto"/>
            </w:tcBorders>
            <w:shd w:val="clear" w:color="auto" w:fill="auto"/>
            <w:noWrap/>
            <w:vAlign w:val="center"/>
            <w:hideMark/>
          </w:tcPr>
          <w:p w:rsidR="00144C00" w:rsidRPr="00451044" w:rsidRDefault="00144C00" w:rsidP="00574A5E">
            <w:pPr>
              <w:jc w:val="center"/>
              <w:rPr>
                <w:rFonts w:ascii="Arial" w:hAnsi="Arial" w:cs="Arial"/>
                <w:color w:val="000000"/>
              </w:rPr>
            </w:pPr>
            <w:r w:rsidRPr="00451044">
              <w:rPr>
                <w:rFonts w:ascii="Arial" w:hAnsi="Arial" w:cs="Arial"/>
                <w:color w:val="000000"/>
              </w:rPr>
              <w:t>kraje</w:t>
            </w:r>
          </w:p>
        </w:tc>
        <w:tc>
          <w:tcPr>
            <w:tcW w:w="992" w:type="dxa"/>
            <w:tcBorders>
              <w:top w:val="nil"/>
              <w:left w:val="nil"/>
              <w:bottom w:val="single" w:sz="8" w:space="0" w:color="auto"/>
              <w:right w:val="single" w:sz="8" w:space="0" w:color="auto"/>
            </w:tcBorders>
            <w:shd w:val="clear" w:color="auto" w:fill="auto"/>
            <w:noWrap/>
            <w:vAlign w:val="center"/>
            <w:hideMark/>
          </w:tcPr>
          <w:p w:rsidR="00144C00" w:rsidRPr="00451044" w:rsidRDefault="00144C00" w:rsidP="00574A5E">
            <w:pPr>
              <w:jc w:val="center"/>
              <w:rPr>
                <w:rFonts w:ascii="Arial" w:hAnsi="Arial" w:cs="Arial"/>
                <w:color w:val="000000"/>
              </w:rPr>
            </w:pPr>
            <w:r w:rsidRPr="00451044">
              <w:rPr>
                <w:rFonts w:ascii="Arial" w:hAnsi="Arial" w:cs="Arial"/>
                <w:color w:val="000000"/>
              </w:rPr>
              <w:t>celkem</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144C00" w:rsidRPr="00451044" w:rsidRDefault="00144C00" w:rsidP="00574A5E">
            <w:pPr>
              <w:jc w:val="center"/>
              <w:rPr>
                <w:rFonts w:ascii="Arial" w:hAnsi="Arial" w:cs="Arial"/>
                <w:color w:val="000000"/>
              </w:rPr>
            </w:pPr>
            <w:r w:rsidRPr="00451044">
              <w:rPr>
                <w:rFonts w:ascii="Arial" w:hAnsi="Arial" w:cs="Arial"/>
                <w:color w:val="000000"/>
              </w:rPr>
              <w:t>obce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C00" w:rsidRPr="00451044" w:rsidRDefault="00144C00" w:rsidP="00574A5E">
            <w:pPr>
              <w:jc w:val="center"/>
              <w:rPr>
                <w:rFonts w:ascii="Arial" w:hAnsi="Arial" w:cs="Arial"/>
                <w:color w:val="000000"/>
              </w:rPr>
            </w:pPr>
            <w:r w:rsidRPr="00451044">
              <w:rPr>
                <w:rFonts w:ascii="Arial" w:hAnsi="Arial" w:cs="Arial"/>
                <w:color w:val="000000"/>
              </w:rPr>
              <w:t>kraje</w:t>
            </w:r>
          </w:p>
        </w:tc>
        <w:tc>
          <w:tcPr>
            <w:tcW w:w="99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44C00" w:rsidRPr="00451044" w:rsidRDefault="00144C00" w:rsidP="00574A5E">
            <w:pPr>
              <w:jc w:val="center"/>
              <w:rPr>
                <w:rFonts w:ascii="Arial" w:hAnsi="Arial" w:cs="Arial"/>
                <w:color w:val="000000"/>
              </w:rPr>
            </w:pPr>
            <w:r w:rsidRPr="00451044">
              <w:rPr>
                <w:rFonts w:ascii="Arial" w:hAnsi="Arial" w:cs="Arial"/>
                <w:color w:val="000000"/>
              </w:rPr>
              <w:t>celkem</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144C00" w:rsidRPr="00451044" w:rsidRDefault="00144C00" w:rsidP="00574A5E">
            <w:pPr>
              <w:rPr>
                <w:rFonts w:ascii="Arial" w:hAnsi="Arial" w:cs="Arial"/>
                <w:color w:val="000000"/>
              </w:rPr>
            </w:pPr>
          </w:p>
        </w:tc>
      </w:tr>
      <w:tr w:rsidR="00144C00" w:rsidRPr="00451044" w:rsidTr="00A8529A">
        <w:trPr>
          <w:trHeight w:val="300"/>
        </w:trPr>
        <w:tc>
          <w:tcPr>
            <w:tcW w:w="2543" w:type="dxa"/>
            <w:tcBorders>
              <w:top w:val="nil"/>
              <w:left w:val="single" w:sz="8" w:space="0" w:color="000000"/>
              <w:bottom w:val="nil"/>
              <w:right w:val="nil"/>
            </w:tcBorders>
            <w:shd w:val="clear" w:color="auto" w:fill="auto"/>
            <w:noWrap/>
            <w:vAlign w:val="bottom"/>
            <w:hideMark/>
          </w:tcPr>
          <w:p w:rsidR="00144C00" w:rsidRPr="007073E2" w:rsidRDefault="00144C00" w:rsidP="00574A5E">
            <w:pPr>
              <w:rPr>
                <w:rFonts w:ascii="Arial" w:hAnsi="Arial" w:cs="Arial"/>
                <w:color w:val="000000"/>
              </w:rPr>
            </w:pPr>
            <w:r w:rsidRPr="007073E2">
              <w:rPr>
                <w:rFonts w:ascii="Arial" w:hAnsi="Arial" w:cs="Arial"/>
                <w:color w:val="000000"/>
              </w:rPr>
              <w:t>DPH</w:t>
            </w:r>
          </w:p>
        </w:tc>
        <w:tc>
          <w:tcPr>
            <w:tcW w:w="377" w:type="dxa"/>
            <w:tcBorders>
              <w:top w:val="nil"/>
              <w:left w:val="nil"/>
              <w:bottom w:val="nil"/>
              <w:right w:val="single" w:sz="8" w:space="0" w:color="000000"/>
            </w:tcBorders>
            <w:shd w:val="clear" w:color="auto" w:fill="auto"/>
            <w:noWrap/>
            <w:vAlign w:val="bottom"/>
            <w:hideMark/>
          </w:tcPr>
          <w:p w:rsidR="00144C00" w:rsidRPr="00451044" w:rsidRDefault="00144C00" w:rsidP="00574A5E">
            <w:pPr>
              <w:rPr>
                <w:rFonts w:ascii="Calibri" w:hAnsi="Calibri"/>
                <w:color w:val="000000"/>
                <w:sz w:val="22"/>
                <w:szCs w:val="22"/>
              </w:rPr>
            </w:pPr>
            <w:r w:rsidRPr="00451044">
              <w:rPr>
                <w:rFonts w:ascii="Calibri" w:hAnsi="Calibri"/>
                <w:color w:val="000000"/>
                <w:sz w:val="22"/>
                <w:szCs w:val="22"/>
              </w:rPr>
              <w:t> </w:t>
            </w:r>
          </w:p>
        </w:tc>
        <w:tc>
          <w:tcPr>
            <w:tcW w:w="639" w:type="dxa"/>
            <w:tcBorders>
              <w:top w:val="nil"/>
              <w:left w:val="nil"/>
              <w:bottom w:val="nil"/>
              <w:right w:val="single" w:sz="8" w:space="0" w:color="auto"/>
            </w:tcBorders>
            <w:shd w:val="clear" w:color="auto" w:fill="auto"/>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19,2</w:t>
            </w:r>
          </w:p>
        </w:tc>
        <w:tc>
          <w:tcPr>
            <w:tcW w:w="709" w:type="dxa"/>
            <w:tcBorders>
              <w:top w:val="nil"/>
              <w:left w:val="nil"/>
              <w:bottom w:val="nil"/>
              <w:right w:val="single" w:sz="8" w:space="0" w:color="auto"/>
            </w:tcBorders>
            <w:shd w:val="clear" w:color="auto" w:fill="auto"/>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6,9</w:t>
            </w:r>
          </w:p>
        </w:tc>
        <w:tc>
          <w:tcPr>
            <w:tcW w:w="992" w:type="dxa"/>
            <w:tcBorders>
              <w:top w:val="nil"/>
              <w:left w:val="nil"/>
              <w:bottom w:val="nil"/>
              <w:right w:val="single" w:sz="8" w:space="0" w:color="auto"/>
            </w:tcBorders>
            <w:shd w:val="clear" w:color="auto" w:fill="auto"/>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26,1</w:t>
            </w:r>
          </w:p>
        </w:tc>
        <w:tc>
          <w:tcPr>
            <w:tcW w:w="709" w:type="dxa"/>
            <w:tcBorders>
              <w:top w:val="nil"/>
              <w:left w:val="nil"/>
              <w:bottom w:val="nil"/>
              <w:right w:val="single" w:sz="8" w:space="0" w:color="auto"/>
            </w:tcBorders>
            <w:shd w:val="clear" w:color="auto" w:fill="auto"/>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16,2</w:t>
            </w:r>
          </w:p>
        </w:tc>
        <w:tc>
          <w:tcPr>
            <w:tcW w:w="850" w:type="dxa"/>
            <w:tcBorders>
              <w:top w:val="nil"/>
              <w:left w:val="nil"/>
              <w:bottom w:val="nil"/>
              <w:right w:val="single" w:sz="8" w:space="0" w:color="auto"/>
            </w:tcBorders>
            <w:shd w:val="clear" w:color="auto" w:fill="auto"/>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5,9</w:t>
            </w:r>
          </w:p>
        </w:tc>
        <w:tc>
          <w:tcPr>
            <w:tcW w:w="993" w:type="dxa"/>
            <w:tcBorders>
              <w:top w:val="nil"/>
              <w:left w:val="nil"/>
              <w:bottom w:val="nil"/>
              <w:right w:val="single" w:sz="8" w:space="0" w:color="auto"/>
            </w:tcBorders>
            <w:shd w:val="clear" w:color="auto" w:fill="auto"/>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22,1</w:t>
            </w:r>
          </w:p>
        </w:tc>
        <w:tc>
          <w:tcPr>
            <w:tcW w:w="1275" w:type="dxa"/>
            <w:tcBorders>
              <w:top w:val="nil"/>
              <w:left w:val="nil"/>
              <w:bottom w:val="nil"/>
              <w:right w:val="single" w:sz="8" w:space="0" w:color="auto"/>
            </w:tcBorders>
            <w:shd w:val="clear" w:color="auto" w:fill="auto"/>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-4</w:t>
            </w:r>
            <w:r>
              <w:rPr>
                <w:rFonts w:ascii="Arial" w:hAnsi="Arial" w:cs="Arial"/>
                <w:b/>
                <w:bCs/>
                <w:color w:val="000000"/>
              </w:rPr>
              <w:t>,0</w:t>
            </w:r>
          </w:p>
        </w:tc>
      </w:tr>
      <w:tr w:rsidR="00144C00" w:rsidRPr="00451044" w:rsidTr="00A8529A">
        <w:trPr>
          <w:trHeight w:val="300"/>
        </w:trPr>
        <w:tc>
          <w:tcPr>
            <w:tcW w:w="2543" w:type="dxa"/>
            <w:tcBorders>
              <w:top w:val="nil"/>
              <w:left w:val="single" w:sz="8" w:space="0" w:color="000000"/>
              <w:bottom w:val="nil"/>
              <w:right w:val="nil"/>
            </w:tcBorders>
            <w:shd w:val="clear" w:color="auto" w:fill="auto"/>
            <w:noWrap/>
            <w:vAlign w:val="bottom"/>
            <w:hideMark/>
          </w:tcPr>
          <w:p w:rsidR="00144C00" w:rsidRPr="007073E2" w:rsidRDefault="00144C00" w:rsidP="00574A5E">
            <w:pPr>
              <w:rPr>
                <w:rFonts w:ascii="Arial" w:hAnsi="Arial" w:cs="Arial"/>
                <w:color w:val="000000"/>
              </w:rPr>
            </w:pPr>
            <w:r w:rsidRPr="007073E2">
              <w:rPr>
                <w:rFonts w:ascii="Arial" w:hAnsi="Arial" w:cs="Arial"/>
                <w:color w:val="000000"/>
              </w:rPr>
              <w:t>DPPO</w:t>
            </w:r>
          </w:p>
        </w:tc>
        <w:tc>
          <w:tcPr>
            <w:tcW w:w="377" w:type="dxa"/>
            <w:tcBorders>
              <w:top w:val="nil"/>
              <w:left w:val="nil"/>
              <w:bottom w:val="nil"/>
              <w:right w:val="single" w:sz="8" w:space="0" w:color="000000"/>
            </w:tcBorders>
            <w:shd w:val="clear" w:color="auto" w:fill="auto"/>
            <w:noWrap/>
            <w:vAlign w:val="bottom"/>
            <w:hideMark/>
          </w:tcPr>
          <w:p w:rsidR="00144C00" w:rsidRPr="00451044" w:rsidRDefault="00144C00" w:rsidP="00574A5E">
            <w:pPr>
              <w:rPr>
                <w:rFonts w:ascii="Calibri" w:hAnsi="Calibri"/>
                <w:color w:val="000000"/>
                <w:sz w:val="22"/>
                <w:szCs w:val="22"/>
              </w:rPr>
            </w:pPr>
            <w:r w:rsidRPr="00451044">
              <w:rPr>
                <w:rFonts w:ascii="Calibri" w:hAnsi="Calibri"/>
                <w:color w:val="000000"/>
                <w:sz w:val="22"/>
                <w:szCs w:val="22"/>
              </w:rPr>
              <w:t> </w:t>
            </w:r>
          </w:p>
        </w:tc>
        <w:tc>
          <w:tcPr>
            <w:tcW w:w="639" w:type="dxa"/>
            <w:tcBorders>
              <w:top w:val="nil"/>
              <w:left w:val="nil"/>
              <w:bottom w:val="nil"/>
              <w:right w:val="single" w:sz="8" w:space="0" w:color="auto"/>
            </w:tcBorders>
            <w:shd w:val="clear" w:color="auto" w:fill="auto"/>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8,3</w:t>
            </w:r>
          </w:p>
        </w:tc>
        <w:tc>
          <w:tcPr>
            <w:tcW w:w="709" w:type="dxa"/>
            <w:tcBorders>
              <w:top w:val="nil"/>
              <w:left w:val="nil"/>
              <w:bottom w:val="nil"/>
              <w:right w:val="single" w:sz="8" w:space="0" w:color="auto"/>
            </w:tcBorders>
            <w:shd w:val="clear" w:color="auto" w:fill="auto"/>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2,3</w:t>
            </w:r>
          </w:p>
        </w:tc>
        <w:tc>
          <w:tcPr>
            <w:tcW w:w="992" w:type="dxa"/>
            <w:tcBorders>
              <w:top w:val="nil"/>
              <w:left w:val="nil"/>
              <w:bottom w:val="nil"/>
              <w:right w:val="single" w:sz="8" w:space="0" w:color="auto"/>
            </w:tcBorders>
            <w:shd w:val="clear" w:color="auto" w:fill="auto"/>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10,6</w:t>
            </w:r>
          </w:p>
        </w:tc>
        <w:tc>
          <w:tcPr>
            <w:tcW w:w="709" w:type="dxa"/>
            <w:tcBorders>
              <w:top w:val="nil"/>
              <w:left w:val="nil"/>
              <w:bottom w:val="nil"/>
              <w:right w:val="single" w:sz="8" w:space="0" w:color="auto"/>
            </w:tcBorders>
            <w:shd w:val="clear" w:color="auto" w:fill="auto"/>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6,5</w:t>
            </w:r>
          </w:p>
        </w:tc>
        <w:tc>
          <w:tcPr>
            <w:tcW w:w="850" w:type="dxa"/>
            <w:tcBorders>
              <w:top w:val="nil"/>
              <w:left w:val="nil"/>
              <w:bottom w:val="nil"/>
              <w:right w:val="single" w:sz="8" w:space="0" w:color="auto"/>
            </w:tcBorders>
            <w:shd w:val="clear" w:color="auto" w:fill="auto"/>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1,7</w:t>
            </w:r>
          </w:p>
        </w:tc>
        <w:tc>
          <w:tcPr>
            <w:tcW w:w="993" w:type="dxa"/>
            <w:tcBorders>
              <w:top w:val="nil"/>
              <w:left w:val="nil"/>
              <w:bottom w:val="nil"/>
              <w:right w:val="single" w:sz="8" w:space="0" w:color="auto"/>
            </w:tcBorders>
            <w:shd w:val="clear" w:color="auto" w:fill="auto"/>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8,2</w:t>
            </w:r>
          </w:p>
        </w:tc>
        <w:tc>
          <w:tcPr>
            <w:tcW w:w="1275" w:type="dxa"/>
            <w:tcBorders>
              <w:top w:val="nil"/>
              <w:left w:val="nil"/>
              <w:bottom w:val="nil"/>
              <w:right w:val="single" w:sz="8" w:space="0" w:color="auto"/>
            </w:tcBorders>
            <w:shd w:val="clear" w:color="auto" w:fill="auto"/>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-2,4</w:t>
            </w:r>
          </w:p>
        </w:tc>
      </w:tr>
      <w:tr w:rsidR="00144C00" w:rsidRPr="00451044" w:rsidTr="00A8529A">
        <w:trPr>
          <w:trHeight w:val="315"/>
        </w:trPr>
        <w:tc>
          <w:tcPr>
            <w:tcW w:w="2920" w:type="dxa"/>
            <w:gridSpan w:val="2"/>
            <w:tcBorders>
              <w:top w:val="nil"/>
              <w:left w:val="single" w:sz="8" w:space="0" w:color="000000"/>
              <w:bottom w:val="nil"/>
              <w:right w:val="single" w:sz="8" w:space="0" w:color="000000"/>
            </w:tcBorders>
            <w:shd w:val="clear" w:color="auto" w:fill="auto"/>
            <w:noWrap/>
            <w:vAlign w:val="center"/>
            <w:hideMark/>
          </w:tcPr>
          <w:p w:rsidR="00144C00" w:rsidRPr="007073E2" w:rsidRDefault="00144C00" w:rsidP="00574A5E">
            <w:pPr>
              <w:rPr>
                <w:rFonts w:ascii="Arial" w:hAnsi="Arial" w:cs="Arial"/>
                <w:color w:val="000000"/>
              </w:rPr>
            </w:pPr>
            <w:r w:rsidRPr="007073E2">
              <w:rPr>
                <w:rFonts w:ascii="Arial" w:hAnsi="Arial" w:cs="Arial"/>
                <w:color w:val="000000"/>
              </w:rPr>
              <w:t>DPFO celkem</w:t>
            </w:r>
          </w:p>
        </w:tc>
        <w:tc>
          <w:tcPr>
            <w:tcW w:w="639" w:type="dxa"/>
            <w:tcBorders>
              <w:top w:val="nil"/>
              <w:left w:val="nil"/>
              <w:bottom w:val="nil"/>
              <w:right w:val="single" w:sz="8" w:space="0" w:color="auto"/>
            </w:tcBorders>
            <w:shd w:val="clear" w:color="auto" w:fill="auto"/>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10</w:t>
            </w:r>
          </w:p>
        </w:tc>
        <w:tc>
          <w:tcPr>
            <w:tcW w:w="709" w:type="dxa"/>
            <w:tcBorders>
              <w:top w:val="nil"/>
              <w:left w:val="nil"/>
              <w:bottom w:val="nil"/>
              <w:right w:val="single" w:sz="8" w:space="0" w:color="auto"/>
            </w:tcBorders>
            <w:shd w:val="clear" w:color="auto" w:fill="auto"/>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3,2</w:t>
            </w:r>
          </w:p>
        </w:tc>
        <w:tc>
          <w:tcPr>
            <w:tcW w:w="992" w:type="dxa"/>
            <w:tcBorders>
              <w:top w:val="nil"/>
              <w:left w:val="nil"/>
              <w:bottom w:val="nil"/>
              <w:right w:val="single" w:sz="8" w:space="0" w:color="auto"/>
            </w:tcBorders>
            <w:shd w:val="clear" w:color="auto" w:fill="auto"/>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13,2</w:t>
            </w:r>
          </w:p>
        </w:tc>
        <w:tc>
          <w:tcPr>
            <w:tcW w:w="709" w:type="dxa"/>
            <w:tcBorders>
              <w:top w:val="nil"/>
              <w:left w:val="nil"/>
              <w:bottom w:val="nil"/>
              <w:right w:val="single" w:sz="8" w:space="0" w:color="auto"/>
            </w:tcBorders>
            <w:shd w:val="clear" w:color="auto" w:fill="auto"/>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9,5</w:t>
            </w:r>
          </w:p>
        </w:tc>
        <w:tc>
          <w:tcPr>
            <w:tcW w:w="850" w:type="dxa"/>
            <w:tcBorders>
              <w:top w:val="nil"/>
              <w:left w:val="nil"/>
              <w:bottom w:val="nil"/>
              <w:right w:val="single" w:sz="8" w:space="0" w:color="auto"/>
            </w:tcBorders>
            <w:shd w:val="clear" w:color="auto" w:fill="auto"/>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3,2</w:t>
            </w:r>
          </w:p>
        </w:tc>
        <w:tc>
          <w:tcPr>
            <w:tcW w:w="993" w:type="dxa"/>
            <w:tcBorders>
              <w:top w:val="nil"/>
              <w:left w:val="nil"/>
              <w:bottom w:val="nil"/>
              <w:right w:val="single" w:sz="8" w:space="0" w:color="auto"/>
            </w:tcBorders>
            <w:shd w:val="clear" w:color="auto" w:fill="auto"/>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12,7</w:t>
            </w:r>
          </w:p>
        </w:tc>
        <w:tc>
          <w:tcPr>
            <w:tcW w:w="1275" w:type="dxa"/>
            <w:tcBorders>
              <w:top w:val="nil"/>
              <w:left w:val="nil"/>
              <w:bottom w:val="nil"/>
              <w:right w:val="single" w:sz="8" w:space="0" w:color="auto"/>
            </w:tcBorders>
            <w:shd w:val="clear" w:color="auto" w:fill="auto"/>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-0,5</w:t>
            </w:r>
          </w:p>
        </w:tc>
      </w:tr>
      <w:tr w:rsidR="00144C00" w:rsidRPr="00451044" w:rsidTr="00A8529A">
        <w:trPr>
          <w:trHeight w:val="315"/>
        </w:trPr>
        <w:tc>
          <w:tcPr>
            <w:tcW w:w="292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144C00" w:rsidRPr="00451044" w:rsidRDefault="00144C00" w:rsidP="00574A5E">
            <w:pPr>
              <w:rPr>
                <w:rFonts w:ascii="Arial" w:hAnsi="Arial" w:cs="Arial"/>
                <w:b/>
                <w:bCs/>
                <w:color w:val="000000"/>
              </w:rPr>
            </w:pPr>
            <w:r w:rsidRPr="00451044">
              <w:rPr>
                <w:rFonts w:ascii="Arial" w:hAnsi="Arial" w:cs="Arial"/>
                <w:b/>
                <w:bCs/>
                <w:color w:val="000000"/>
              </w:rPr>
              <w:t>Celkem sdílené daňové příjmy</w:t>
            </w:r>
          </w:p>
        </w:tc>
        <w:tc>
          <w:tcPr>
            <w:tcW w:w="639" w:type="dxa"/>
            <w:tcBorders>
              <w:top w:val="single" w:sz="8" w:space="0" w:color="000000"/>
              <w:left w:val="nil"/>
              <w:bottom w:val="single" w:sz="8" w:space="0" w:color="auto"/>
              <w:right w:val="single" w:sz="8" w:space="0" w:color="auto"/>
            </w:tcBorders>
            <w:shd w:val="clear" w:color="000000" w:fill="FFFFFF"/>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37,5</w:t>
            </w:r>
          </w:p>
        </w:tc>
        <w:tc>
          <w:tcPr>
            <w:tcW w:w="709" w:type="dxa"/>
            <w:tcBorders>
              <w:top w:val="single" w:sz="8" w:space="0" w:color="000000"/>
              <w:left w:val="nil"/>
              <w:bottom w:val="single" w:sz="8" w:space="0" w:color="auto"/>
              <w:right w:val="single" w:sz="8" w:space="0" w:color="auto"/>
            </w:tcBorders>
            <w:shd w:val="clear" w:color="000000" w:fill="FFFFFF"/>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12,4</w:t>
            </w:r>
          </w:p>
        </w:tc>
        <w:tc>
          <w:tcPr>
            <w:tcW w:w="992" w:type="dxa"/>
            <w:tcBorders>
              <w:top w:val="single" w:sz="8" w:space="0" w:color="000000"/>
              <w:left w:val="nil"/>
              <w:bottom w:val="single" w:sz="8" w:space="0" w:color="auto"/>
              <w:right w:val="single" w:sz="8" w:space="0" w:color="auto"/>
            </w:tcBorders>
            <w:shd w:val="clear" w:color="000000" w:fill="FFFFFF"/>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49,9</w:t>
            </w:r>
          </w:p>
        </w:tc>
        <w:tc>
          <w:tcPr>
            <w:tcW w:w="709" w:type="dxa"/>
            <w:tcBorders>
              <w:top w:val="single" w:sz="8" w:space="0" w:color="000000"/>
              <w:left w:val="nil"/>
              <w:bottom w:val="single" w:sz="8" w:space="0" w:color="auto"/>
              <w:right w:val="single" w:sz="8" w:space="0" w:color="auto"/>
            </w:tcBorders>
            <w:shd w:val="clear" w:color="000000" w:fill="FFFFFF"/>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32,2</w:t>
            </w:r>
          </w:p>
        </w:tc>
        <w:tc>
          <w:tcPr>
            <w:tcW w:w="850" w:type="dxa"/>
            <w:tcBorders>
              <w:top w:val="single" w:sz="8" w:space="0" w:color="000000"/>
              <w:left w:val="nil"/>
              <w:bottom w:val="single" w:sz="8" w:space="0" w:color="auto"/>
              <w:right w:val="single" w:sz="8" w:space="0" w:color="auto"/>
            </w:tcBorders>
            <w:shd w:val="clear" w:color="000000" w:fill="FFFFFF"/>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10,8</w:t>
            </w:r>
          </w:p>
        </w:tc>
        <w:tc>
          <w:tcPr>
            <w:tcW w:w="993" w:type="dxa"/>
            <w:tcBorders>
              <w:top w:val="single" w:sz="8" w:space="0" w:color="000000"/>
              <w:left w:val="nil"/>
              <w:bottom w:val="single" w:sz="8" w:space="0" w:color="auto"/>
              <w:right w:val="single" w:sz="8" w:space="0" w:color="auto"/>
            </w:tcBorders>
            <w:shd w:val="clear" w:color="000000" w:fill="FFFFFF"/>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43,0</w:t>
            </w:r>
          </w:p>
        </w:tc>
        <w:tc>
          <w:tcPr>
            <w:tcW w:w="1275" w:type="dxa"/>
            <w:tcBorders>
              <w:top w:val="single" w:sz="8" w:space="0" w:color="000000"/>
              <w:left w:val="nil"/>
              <w:bottom w:val="single" w:sz="8" w:space="0" w:color="auto"/>
              <w:right w:val="single" w:sz="8" w:space="0" w:color="auto"/>
            </w:tcBorders>
            <w:shd w:val="clear" w:color="000000" w:fill="FFFFFF"/>
            <w:noWrap/>
            <w:vAlign w:val="center"/>
            <w:hideMark/>
          </w:tcPr>
          <w:p w:rsidR="00144C00" w:rsidRPr="00451044" w:rsidRDefault="00144C00" w:rsidP="00574A5E">
            <w:pPr>
              <w:jc w:val="right"/>
              <w:rPr>
                <w:rFonts w:ascii="Arial" w:hAnsi="Arial" w:cs="Arial"/>
                <w:b/>
                <w:bCs/>
                <w:color w:val="000000"/>
              </w:rPr>
            </w:pPr>
            <w:r w:rsidRPr="00451044">
              <w:rPr>
                <w:rFonts w:ascii="Arial" w:hAnsi="Arial" w:cs="Arial"/>
                <w:b/>
                <w:bCs/>
                <w:color w:val="000000"/>
              </w:rPr>
              <w:t>-6,9</w:t>
            </w:r>
          </w:p>
        </w:tc>
      </w:tr>
    </w:tbl>
    <w:p w:rsidR="0007030E" w:rsidRDefault="0007030E" w:rsidP="0007030E">
      <w:pPr>
        <w:jc w:val="both"/>
        <w:rPr>
          <w:sz w:val="24"/>
        </w:rPr>
      </w:pPr>
    </w:p>
    <w:p w:rsidR="0007030E" w:rsidRDefault="0007030E" w:rsidP="0007030E">
      <w:pPr>
        <w:jc w:val="both"/>
        <w:rPr>
          <w:sz w:val="24"/>
        </w:rPr>
      </w:pPr>
      <w:r>
        <w:rPr>
          <w:sz w:val="24"/>
        </w:rPr>
        <w:t xml:space="preserve"> </w:t>
      </w:r>
    </w:p>
    <w:p w:rsidR="0007030E" w:rsidRDefault="0007030E" w:rsidP="0007030E">
      <w:pPr>
        <w:pStyle w:val="Odstavecseseznamem"/>
        <w:ind w:left="0" w:firstLine="709"/>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Lednový převod prostředků v sobě obsahuje i část ze sdíleného inkasa daní za předchozí rok. Z tohoto důvodu je možné vidět meziroční pokles u daně z příjmů právnických osob, která ale dle vybraného celostátního inkasa meziročně ve všech měsících roku (i za prosinec 2014) naopak rostla. V prosinci je každoročně splatná záloha na daň z příjmů právnických osob, která má vysoký podíl na celoročním inkasu této daně. V prosinci roku 2013 byla tato záloha plátci zaplacena vesměs až v druhé polovině měsíce prosince a poté obcím a krajům přeposlána až v rámci lednového převodu inkasa (zaplacené zálohy do první poloviny prosince se odesílají obcím a krajům již v prosinci, inkaso za druhou polovinu prosince je běžně odesláno obcím a krajům až v lednu následujícího roku). Nicméně v prosinci roku 2014 plátci zaplatili většinu záloh daně z příjmů právnických osob už v průběhu první poloviny měsíce prosince a tudíž byla část z toho sdíleného inkasa převedena obcím a krajům už v prosinci 2014. Zaplacené zálohy v druhé půlce prosince 2014 byly tak už velmi nízké a tudíž i lednový převod inkasa z tohoto titulu byl meziročně nižší. Celková částka inkasa daně z příjmů právnických osob meziročně už více než rok roste, v tomto případě jde pouze o časový posun, kdy ob</w:t>
      </w:r>
      <w:r w:rsidR="00380C61">
        <w:rPr>
          <w:rFonts w:ascii="Times New Roman" w:eastAsia="Times New Roman" w:hAnsi="Times New Roman"/>
          <w:sz w:val="24"/>
          <w:szCs w:val="20"/>
          <w:lang w:eastAsia="cs-CZ"/>
        </w:rPr>
        <w:t>ce a kraje obdržely vyšší inkaso</w:t>
      </w:r>
      <w:r>
        <w:rPr>
          <w:rFonts w:ascii="Times New Roman" w:eastAsia="Times New Roman" w:hAnsi="Times New Roman"/>
          <w:sz w:val="24"/>
          <w:szCs w:val="20"/>
          <w:lang w:eastAsia="cs-CZ"/>
        </w:rPr>
        <w:t xml:space="preserve"> dříve než je obvyklé (v prosinc</w:t>
      </w:r>
      <w:r w:rsidR="008B3EFB">
        <w:rPr>
          <w:rFonts w:ascii="Times New Roman" w:eastAsia="Times New Roman" w:hAnsi="Times New Roman"/>
          <w:sz w:val="24"/>
          <w:szCs w:val="20"/>
          <w:lang w:eastAsia="cs-CZ"/>
        </w:rPr>
        <w:t>i</w:t>
      </w:r>
      <w:r>
        <w:rPr>
          <w:rFonts w:ascii="Times New Roman" w:eastAsia="Times New Roman" w:hAnsi="Times New Roman"/>
          <w:sz w:val="24"/>
          <w:szCs w:val="20"/>
          <w:lang w:eastAsia="cs-CZ"/>
        </w:rPr>
        <w:t xml:space="preserve"> 2014 už obdržely více, což zkresluje meziroční porovnání za první tři měsíce tohoto roku).</w:t>
      </w:r>
    </w:p>
    <w:p w:rsidR="00B51318" w:rsidRDefault="00B51318"/>
    <w:sectPr w:rsidR="00B51318" w:rsidSect="00A62F7A">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F8" w:rsidRDefault="00C148F8" w:rsidP="0007030E">
      <w:r>
        <w:separator/>
      </w:r>
    </w:p>
  </w:endnote>
  <w:endnote w:type="continuationSeparator" w:id="0">
    <w:p w:rsidR="00C148F8" w:rsidRDefault="00C148F8" w:rsidP="0007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F8" w:rsidRDefault="00C148F8" w:rsidP="0007030E">
      <w:r>
        <w:separator/>
      </w:r>
    </w:p>
  </w:footnote>
  <w:footnote w:type="continuationSeparator" w:id="0">
    <w:p w:rsidR="00C148F8" w:rsidRDefault="00C148F8" w:rsidP="00070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0E" w:rsidRPr="00BA7D5F" w:rsidRDefault="0007030E" w:rsidP="0007030E">
    <w:pPr>
      <w:pStyle w:val="Zhlav"/>
      <w:jc w:val="right"/>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7A" w:rsidRPr="00BA7D5F" w:rsidRDefault="00A62F7A" w:rsidP="00A62F7A">
    <w:pPr>
      <w:pStyle w:val="Zhlav"/>
      <w:jc w:val="right"/>
      <w:rPr>
        <w:b/>
        <w:sz w:val="24"/>
        <w:szCs w:val="24"/>
      </w:rPr>
    </w:pPr>
    <w:r w:rsidRPr="00BA7D5F">
      <w:rPr>
        <w:b/>
        <w:sz w:val="24"/>
        <w:szCs w:val="24"/>
      </w:rPr>
      <w:t>II.</w:t>
    </w:r>
  </w:p>
  <w:p w:rsidR="00A62F7A" w:rsidRPr="00A62F7A" w:rsidRDefault="00A62F7A" w:rsidP="00A62F7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0E"/>
    <w:rsid w:val="0007030E"/>
    <w:rsid w:val="000A7CBC"/>
    <w:rsid w:val="00144C00"/>
    <w:rsid w:val="001871FC"/>
    <w:rsid w:val="00223343"/>
    <w:rsid w:val="00380C61"/>
    <w:rsid w:val="003D7E17"/>
    <w:rsid w:val="0044121A"/>
    <w:rsid w:val="004D2469"/>
    <w:rsid w:val="004D4132"/>
    <w:rsid w:val="0057706A"/>
    <w:rsid w:val="0059377E"/>
    <w:rsid w:val="005A69D9"/>
    <w:rsid w:val="00661C28"/>
    <w:rsid w:val="00701AD1"/>
    <w:rsid w:val="007073E2"/>
    <w:rsid w:val="007F792E"/>
    <w:rsid w:val="00851C2A"/>
    <w:rsid w:val="00874828"/>
    <w:rsid w:val="008B3EFB"/>
    <w:rsid w:val="00900E90"/>
    <w:rsid w:val="009E08D3"/>
    <w:rsid w:val="00A62F7A"/>
    <w:rsid w:val="00A735B0"/>
    <w:rsid w:val="00A8180F"/>
    <w:rsid w:val="00A8529A"/>
    <w:rsid w:val="00AB50A6"/>
    <w:rsid w:val="00B5059E"/>
    <w:rsid w:val="00B51318"/>
    <w:rsid w:val="00BA7D5F"/>
    <w:rsid w:val="00C12CA3"/>
    <w:rsid w:val="00C148F8"/>
    <w:rsid w:val="00C64766"/>
    <w:rsid w:val="00D433B7"/>
    <w:rsid w:val="00DA540C"/>
    <w:rsid w:val="00DF7492"/>
    <w:rsid w:val="00E57B6B"/>
    <w:rsid w:val="00ED670F"/>
    <w:rsid w:val="00FE62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030E"/>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030E"/>
    <w:pPr>
      <w:ind w:left="720"/>
    </w:pPr>
    <w:rPr>
      <w:rFonts w:ascii="Calibri" w:eastAsiaTheme="minorHAnsi" w:hAnsi="Calibri"/>
      <w:sz w:val="22"/>
      <w:szCs w:val="22"/>
      <w:lang w:eastAsia="en-US"/>
    </w:rPr>
  </w:style>
  <w:style w:type="paragraph" w:customStyle="1" w:styleId="Popisky">
    <w:name w:val="Popisky"/>
    <w:uiPriority w:val="99"/>
    <w:rsid w:val="0007030E"/>
    <w:pPr>
      <w:spacing w:after="0" w:line="240" w:lineRule="auto"/>
    </w:pPr>
    <w:rPr>
      <w:rFonts w:ascii="Arial" w:eastAsia="Times New Roman" w:hAnsi="Arial" w:cs="Times New Roman"/>
      <w:sz w:val="20"/>
      <w:szCs w:val="20"/>
      <w:lang w:eastAsia="cs-CZ"/>
    </w:rPr>
  </w:style>
  <w:style w:type="paragraph" w:styleId="Zhlav">
    <w:name w:val="header"/>
    <w:basedOn w:val="Normln"/>
    <w:link w:val="ZhlavChar"/>
    <w:uiPriority w:val="99"/>
    <w:unhideWhenUsed/>
    <w:rsid w:val="0007030E"/>
    <w:pPr>
      <w:tabs>
        <w:tab w:val="center" w:pos="4536"/>
        <w:tab w:val="right" w:pos="9072"/>
      </w:tabs>
    </w:pPr>
  </w:style>
  <w:style w:type="character" w:customStyle="1" w:styleId="ZhlavChar">
    <w:name w:val="Záhlaví Char"/>
    <w:basedOn w:val="Standardnpsmoodstavce"/>
    <w:link w:val="Zhlav"/>
    <w:uiPriority w:val="99"/>
    <w:rsid w:val="0007030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7030E"/>
    <w:pPr>
      <w:tabs>
        <w:tab w:val="center" w:pos="4536"/>
        <w:tab w:val="right" w:pos="9072"/>
      </w:tabs>
    </w:pPr>
  </w:style>
  <w:style w:type="character" w:customStyle="1" w:styleId="ZpatChar">
    <w:name w:val="Zápatí Char"/>
    <w:basedOn w:val="Standardnpsmoodstavce"/>
    <w:link w:val="Zpat"/>
    <w:uiPriority w:val="99"/>
    <w:rsid w:val="0007030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62F7A"/>
    <w:rPr>
      <w:rFonts w:ascii="Tahoma" w:hAnsi="Tahoma" w:cs="Tahoma"/>
      <w:sz w:val="16"/>
      <w:szCs w:val="16"/>
    </w:rPr>
  </w:style>
  <w:style w:type="character" w:customStyle="1" w:styleId="TextbublinyChar">
    <w:name w:val="Text bubliny Char"/>
    <w:basedOn w:val="Standardnpsmoodstavce"/>
    <w:link w:val="Textbubliny"/>
    <w:uiPriority w:val="99"/>
    <w:semiHidden/>
    <w:rsid w:val="00A62F7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030E"/>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030E"/>
    <w:pPr>
      <w:ind w:left="720"/>
    </w:pPr>
    <w:rPr>
      <w:rFonts w:ascii="Calibri" w:eastAsiaTheme="minorHAnsi" w:hAnsi="Calibri"/>
      <w:sz w:val="22"/>
      <w:szCs w:val="22"/>
      <w:lang w:eastAsia="en-US"/>
    </w:rPr>
  </w:style>
  <w:style w:type="paragraph" w:customStyle="1" w:styleId="Popisky">
    <w:name w:val="Popisky"/>
    <w:uiPriority w:val="99"/>
    <w:rsid w:val="0007030E"/>
    <w:pPr>
      <w:spacing w:after="0" w:line="240" w:lineRule="auto"/>
    </w:pPr>
    <w:rPr>
      <w:rFonts w:ascii="Arial" w:eastAsia="Times New Roman" w:hAnsi="Arial" w:cs="Times New Roman"/>
      <w:sz w:val="20"/>
      <w:szCs w:val="20"/>
      <w:lang w:eastAsia="cs-CZ"/>
    </w:rPr>
  </w:style>
  <w:style w:type="paragraph" w:styleId="Zhlav">
    <w:name w:val="header"/>
    <w:basedOn w:val="Normln"/>
    <w:link w:val="ZhlavChar"/>
    <w:uiPriority w:val="99"/>
    <w:unhideWhenUsed/>
    <w:rsid w:val="0007030E"/>
    <w:pPr>
      <w:tabs>
        <w:tab w:val="center" w:pos="4536"/>
        <w:tab w:val="right" w:pos="9072"/>
      </w:tabs>
    </w:pPr>
  </w:style>
  <w:style w:type="character" w:customStyle="1" w:styleId="ZhlavChar">
    <w:name w:val="Záhlaví Char"/>
    <w:basedOn w:val="Standardnpsmoodstavce"/>
    <w:link w:val="Zhlav"/>
    <w:uiPriority w:val="99"/>
    <w:rsid w:val="0007030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7030E"/>
    <w:pPr>
      <w:tabs>
        <w:tab w:val="center" w:pos="4536"/>
        <w:tab w:val="right" w:pos="9072"/>
      </w:tabs>
    </w:pPr>
  </w:style>
  <w:style w:type="character" w:customStyle="1" w:styleId="ZpatChar">
    <w:name w:val="Zápatí Char"/>
    <w:basedOn w:val="Standardnpsmoodstavce"/>
    <w:link w:val="Zpat"/>
    <w:uiPriority w:val="99"/>
    <w:rsid w:val="0007030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62F7A"/>
    <w:rPr>
      <w:rFonts w:ascii="Tahoma" w:hAnsi="Tahoma" w:cs="Tahoma"/>
      <w:sz w:val="16"/>
      <w:szCs w:val="16"/>
    </w:rPr>
  </w:style>
  <w:style w:type="character" w:customStyle="1" w:styleId="TextbublinyChar">
    <w:name w:val="Text bubliny Char"/>
    <w:basedOn w:val="Standardnpsmoodstavce"/>
    <w:link w:val="Textbubliny"/>
    <w:uiPriority w:val="99"/>
    <w:semiHidden/>
    <w:rsid w:val="00A62F7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4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7533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Klepáčková Kristýna</dc:creator>
  <cp:lastModifiedBy>Erlichová Pavla</cp:lastModifiedBy>
  <cp:revision>2</cp:revision>
  <cp:lastPrinted>2015-05-21T09:49:00Z</cp:lastPrinted>
  <dcterms:created xsi:type="dcterms:W3CDTF">2015-07-14T06:03:00Z</dcterms:created>
  <dcterms:modified xsi:type="dcterms:W3CDTF">2015-07-14T06:03:00Z</dcterms:modified>
</cp:coreProperties>
</file>