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03" w:rsidRDefault="00F27B03" w:rsidP="00CA4396">
      <w:pPr>
        <w:jc w:val="right"/>
        <w:rPr>
          <w:rFonts w:ascii="Times New Roman" w:hAnsi="Times New Roman"/>
          <w:b/>
          <w:spacing w:val="30"/>
          <w:sz w:val="32"/>
          <w:szCs w:val="32"/>
        </w:rPr>
      </w:pPr>
      <w:bookmarkStart w:id="0" w:name="_GoBack"/>
      <w:bookmarkEnd w:id="0"/>
      <w:r>
        <w:rPr>
          <w:rFonts w:ascii="Times New Roman" w:hAnsi="Times New Roman"/>
          <w:b/>
          <w:spacing w:val="30"/>
          <w:sz w:val="32"/>
          <w:szCs w:val="32"/>
        </w:rPr>
        <w:t>III.</w:t>
      </w:r>
    </w:p>
    <w:p w:rsidR="00F27B03" w:rsidRPr="00382145" w:rsidRDefault="00F27B03" w:rsidP="006F2614">
      <w:pPr>
        <w:rPr>
          <w:rFonts w:ascii="Times New Roman" w:hAnsi="Times New Roman"/>
          <w:b/>
          <w:spacing w:val="30"/>
          <w:sz w:val="32"/>
          <w:szCs w:val="32"/>
        </w:rPr>
      </w:pPr>
      <w:r w:rsidRPr="00382145">
        <w:rPr>
          <w:rFonts w:ascii="Times New Roman" w:hAnsi="Times New Roman"/>
          <w:b/>
          <w:spacing w:val="30"/>
          <w:sz w:val="32"/>
          <w:szCs w:val="32"/>
        </w:rPr>
        <w:t>Ministerstvo financí</w:t>
      </w:r>
      <w:r>
        <w:rPr>
          <w:rFonts w:ascii="Times New Roman" w:hAnsi="Times New Roman"/>
          <w:b/>
          <w:spacing w:val="30"/>
          <w:sz w:val="32"/>
          <w:szCs w:val="32"/>
        </w:rPr>
        <w:tab/>
      </w:r>
      <w:r>
        <w:rPr>
          <w:rFonts w:ascii="Times New Roman" w:hAnsi="Times New Roman"/>
          <w:b/>
          <w:spacing w:val="30"/>
          <w:sz w:val="32"/>
          <w:szCs w:val="32"/>
        </w:rPr>
        <w:tab/>
      </w:r>
      <w:r>
        <w:rPr>
          <w:rFonts w:ascii="Times New Roman" w:hAnsi="Times New Roman"/>
          <w:b/>
          <w:spacing w:val="30"/>
          <w:sz w:val="32"/>
          <w:szCs w:val="32"/>
        </w:rPr>
        <w:tab/>
      </w:r>
      <w:r>
        <w:rPr>
          <w:rFonts w:ascii="Times New Roman" w:hAnsi="Times New Roman"/>
          <w:b/>
          <w:spacing w:val="30"/>
          <w:sz w:val="32"/>
          <w:szCs w:val="32"/>
        </w:rPr>
        <w:tab/>
      </w:r>
      <w:r>
        <w:rPr>
          <w:rFonts w:ascii="Times New Roman" w:hAnsi="Times New Roman"/>
          <w:b/>
          <w:spacing w:val="30"/>
          <w:sz w:val="32"/>
          <w:szCs w:val="32"/>
        </w:rPr>
        <w:tab/>
      </w:r>
      <w:r>
        <w:rPr>
          <w:rFonts w:ascii="Times New Roman" w:hAnsi="Times New Roman"/>
          <w:b/>
          <w:spacing w:val="30"/>
          <w:sz w:val="32"/>
          <w:szCs w:val="32"/>
        </w:rPr>
        <w:tab/>
      </w:r>
      <w:r>
        <w:rPr>
          <w:rFonts w:ascii="Times New Roman" w:hAnsi="Times New Roman"/>
          <w:b/>
          <w:spacing w:val="30"/>
          <w:sz w:val="32"/>
          <w:szCs w:val="32"/>
        </w:rPr>
        <w:tab/>
      </w:r>
      <w:r>
        <w:rPr>
          <w:rFonts w:ascii="Times New Roman" w:hAnsi="Times New Roman"/>
          <w:b/>
          <w:spacing w:val="30"/>
          <w:sz w:val="32"/>
          <w:szCs w:val="32"/>
        </w:rPr>
        <w:tab/>
      </w:r>
    </w:p>
    <w:p w:rsidR="00F27B03" w:rsidRPr="006F2614" w:rsidRDefault="00F27B03">
      <w:pPr>
        <w:rPr>
          <w:rFonts w:ascii="Times New Roman" w:hAnsi="Times New Roman"/>
          <w:sz w:val="28"/>
          <w:szCs w:val="28"/>
        </w:rPr>
      </w:pPr>
      <w:r w:rsidRPr="006F2614">
        <w:rPr>
          <w:rFonts w:ascii="Times New Roman" w:hAnsi="Times New Roman"/>
          <w:sz w:val="28"/>
          <w:szCs w:val="28"/>
        </w:rPr>
        <w:t>Č. j.:</w:t>
      </w:r>
      <w:r w:rsidRPr="006F2614">
        <w:rPr>
          <w:rFonts w:ascii="Tahoma" w:hAnsi="Tahoma" w:cs="Tahoma"/>
          <w:b/>
          <w:bCs/>
          <w:caps/>
          <w:color w:val="FFFFFF"/>
          <w:sz w:val="28"/>
          <w:szCs w:val="28"/>
        </w:rPr>
        <w:t xml:space="preserve"> </w:t>
      </w:r>
      <w:r w:rsidRPr="006F2614">
        <w:rPr>
          <w:rFonts w:ascii="Times New Roman" w:hAnsi="Times New Roman"/>
          <w:bCs/>
          <w:sz w:val="28"/>
          <w:szCs w:val="28"/>
        </w:rPr>
        <w:t>MF-15027/2015/4701</w:t>
      </w:r>
      <w:r w:rsidRPr="006F2614">
        <w:rPr>
          <w:rFonts w:ascii="Times New Roman" w:hAnsi="Times New Roman"/>
          <w:sz w:val="28"/>
          <w:szCs w:val="28"/>
        </w:rPr>
        <w:t xml:space="preserve"> </w:t>
      </w: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pPr>
        <w:rPr>
          <w:rFonts w:ascii="Times New Roman" w:hAnsi="Times New Roman"/>
          <w:sz w:val="24"/>
          <w:szCs w:val="24"/>
        </w:rPr>
      </w:pPr>
    </w:p>
    <w:p w:rsidR="00F27B03" w:rsidRDefault="00F27B03" w:rsidP="00E6521A">
      <w:pPr>
        <w:jc w:val="center"/>
        <w:rPr>
          <w:rFonts w:ascii="Times New Roman" w:hAnsi="Times New Roman"/>
          <w:sz w:val="28"/>
          <w:szCs w:val="28"/>
        </w:rPr>
      </w:pPr>
      <w:r w:rsidRPr="00E6521A">
        <w:rPr>
          <w:rFonts w:ascii="Times New Roman" w:hAnsi="Times New Roman"/>
          <w:b/>
          <w:caps/>
          <w:spacing w:val="40"/>
          <w:sz w:val="28"/>
          <w:szCs w:val="28"/>
        </w:rPr>
        <w:t>Zpráva</w:t>
      </w:r>
    </w:p>
    <w:p w:rsidR="00F27B03" w:rsidRDefault="00F27B03" w:rsidP="00E6521A">
      <w:pPr>
        <w:jc w:val="center"/>
        <w:rPr>
          <w:rFonts w:ascii="Times New Roman" w:hAnsi="Times New Roman"/>
          <w:sz w:val="28"/>
          <w:szCs w:val="28"/>
        </w:rPr>
      </w:pPr>
      <w:r w:rsidRPr="003752C3">
        <w:rPr>
          <w:rFonts w:ascii="Times New Roman" w:hAnsi="Times New Roman"/>
          <w:b/>
          <w:sz w:val="28"/>
          <w:szCs w:val="28"/>
        </w:rPr>
        <w:t xml:space="preserve">o výsledcích finančních kontrol ve veřejné správě za rok 2014 </w:t>
      </w: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z w:val="28"/>
          <w:szCs w:val="28"/>
        </w:rPr>
      </w:pPr>
      <w:r>
        <w:rPr>
          <w:rFonts w:ascii="Times New Roman" w:hAnsi="Times New Roman"/>
          <w:sz w:val="28"/>
          <w:szCs w:val="28"/>
        </w:rPr>
        <w:t>Květen 2015</w:t>
      </w:r>
    </w:p>
    <w:p w:rsidR="00F27B03" w:rsidRDefault="00F27B03" w:rsidP="00E6521A">
      <w:pPr>
        <w:jc w:val="center"/>
        <w:rPr>
          <w:rFonts w:ascii="Times New Roman" w:hAnsi="Times New Roman"/>
          <w:sz w:val="28"/>
          <w:szCs w:val="28"/>
        </w:rPr>
      </w:pPr>
    </w:p>
    <w:p w:rsidR="00F27B03" w:rsidRDefault="00F27B03" w:rsidP="00E6521A">
      <w:pPr>
        <w:jc w:val="center"/>
        <w:rPr>
          <w:rFonts w:ascii="Times New Roman" w:hAnsi="Times New Roman"/>
          <w:spacing w:val="40"/>
          <w:sz w:val="28"/>
          <w:szCs w:val="28"/>
        </w:rPr>
      </w:pPr>
      <w:r>
        <w:rPr>
          <w:rFonts w:ascii="Times New Roman" w:hAnsi="Times New Roman"/>
          <w:spacing w:val="40"/>
          <w:sz w:val="28"/>
          <w:szCs w:val="28"/>
        </w:rPr>
        <w:t xml:space="preserve">OBSAH </w:t>
      </w:r>
    </w:p>
    <w:p w:rsidR="00F27B03" w:rsidRDefault="00F27B03" w:rsidP="00901560">
      <w:pPr>
        <w:rPr>
          <w:rFonts w:ascii="Times New Roman" w:hAnsi="Times New Roman"/>
          <w:spacing w:val="40"/>
          <w:sz w:val="28"/>
          <w:szCs w:val="28"/>
        </w:rPr>
      </w:pPr>
    </w:p>
    <w:p w:rsidR="00F27B03" w:rsidRDefault="00F27B03" w:rsidP="00901560">
      <w:pPr>
        <w:rPr>
          <w:rFonts w:ascii="Times New Roman" w:hAnsi="Times New Roman"/>
          <w:spacing w:val="40"/>
          <w:sz w:val="28"/>
          <w:szCs w:val="28"/>
        </w:rPr>
      </w:pP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 xml:space="preserve">Úvod </w:t>
      </w:r>
      <w:r w:rsidRPr="006108AC">
        <w:rPr>
          <w:rFonts w:ascii="Times New Roman" w:hAnsi="Times New Roman"/>
          <w:sz w:val="24"/>
          <w:szCs w:val="24"/>
        </w:rPr>
        <w:tab/>
      </w:r>
      <w:r w:rsidRPr="006108AC">
        <w:rPr>
          <w:rFonts w:ascii="Times New Roman" w:hAnsi="Times New Roman"/>
          <w:sz w:val="24"/>
          <w:szCs w:val="24"/>
        </w:rPr>
        <w:tab/>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Finanční řízení a kontrola</w:t>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Veřejnosprávní kontroly hospodaření s veřejnými prostředky České republiky</w:t>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Veřejnosprávní kontroly a audity finančních prostředků ze zahraničí</w:t>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Interní audit v orgánech veřejné správy</w:t>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 xml:space="preserve">Ochrana proti podvodnému jednání, spolupráce s Evropským úřadem pro boj </w:t>
      </w:r>
    </w:p>
    <w:p w:rsidR="00F27B03" w:rsidRPr="006108AC" w:rsidRDefault="00F27B03" w:rsidP="00432E4F">
      <w:pPr>
        <w:pStyle w:val="Odstavecseseznamem"/>
        <w:spacing w:line="480" w:lineRule="auto"/>
        <w:ind w:left="1418" w:hanging="2"/>
        <w:rPr>
          <w:rFonts w:ascii="Times New Roman" w:hAnsi="Times New Roman"/>
          <w:sz w:val="24"/>
          <w:szCs w:val="24"/>
        </w:rPr>
      </w:pPr>
      <w:r w:rsidRPr="006108AC">
        <w:rPr>
          <w:rFonts w:ascii="Times New Roman" w:hAnsi="Times New Roman"/>
          <w:sz w:val="24"/>
          <w:szCs w:val="24"/>
        </w:rPr>
        <w:t>proti podvodům</w:t>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Centrální harmonizace finanční kontroly ve veřejné správě</w:t>
      </w:r>
    </w:p>
    <w:p w:rsidR="00F27B03" w:rsidRPr="006108AC" w:rsidRDefault="00F27B03" w:rsidP="00432E4F">
      <w:pPr>
        <w:pStyle w:val="Odstavecseseznamem"/>
        <w:numPr>
          <w:ilvl w:val="0"/>
          <w:numId w:val="1"/>
        </w:numPr>
        <w:spacing w:line="480" w:lineRule="auto"/>
        <w:ind w:left="1418" w:hanging="1418"/>
        <w:rPr>
          <w:rFonts w:ascii="Times New Roman" w:hAnsi="Times New Roman"/>
          <w:sz w:val="24"/>
          <w:szCs w:val="24"/>
        </w:rPr>
      </w:pPr>
      <w:r w:rsidRPr="006108AC">
        <w:rPr>
          <w:rFonts w:ascii="Times New Roman" w:hAnsi="Times New Roman"/>
          <w:sz w:val="24"/>
          <w:szCs w:val="24"/>
        </w:rPr>
        <w:t>Souhrnné zhodnocení výsledků finanční kontroly s návrhy opatření ke zvýšení účinnosti finanční kontroly ve veřejné správě</w:t>
      </w:r>
    </w:p>
    <w:p w:rsidR="00F27B03" w:rsidRDefault="00F27B03" w:rsidP="00432E4F">
      <w:pPr>
        <w:spacing w:line="480" w:lineRule="auto"/>
        <w:rPr>
          <w:rFonts w:ascii="Times New Roman" w:hAnsi="Times New Roman"/>
          <w:sz w:val="24"/>
          <w:szCs w:val="24"/>
        </w:rPr>
      </w:pPr>
    </w:p>
    <w:p w:rsidR="00F27B03" w:rsidRDefault="00F27B03" w:rsidP="00432E4F">
      <w:pPr>
        <w:spacing w:line="480" w:lineRule="auto"/>
        <w:rPr>
          <w:rFonts w:ascii="Times New Roman" w:hAnsi="Times New Roman"/>
          <w:sz w:val="24"/>
          <w:szCs w:val="24"/>
        </w:rPr>
      </w:pPr>
      <w:r>
        <w:rPr>
          <w:rFonts w:ascii="Times New Roman" w:hAnsi="Times New Roman"/>
          <w:sz w:val="24"/>
          <w:szCs w:val="24"/>
        </w:rPr>
        <w:t>Příloha č. 1</w:t>
      </w:r>
      <w:r>
        <w:rPr>
          <w:rFonts w:ascii="Times New Roman" w:hAnsi="Times New Roman"/>
          <w:sz w:val="24"/>
          <w:szCs w:val="24"/>
        </w:rPr>
        <w:tab/>
        <w:t>Přehled závažných zjištění z vykonaných finančních kontrol</w:t>
      </w:r>
    </w:p>
    <w:p w:rsidR="00F27B03" w:rsidRDefault="00F27B03" w:rsidP="00FB4293">
      <w:pPr>
        <w:spacing w:line="480" w:lineRule="auto"/>
        <w:ind w:left="1418" w:hanging="1418"/>
        <w:rPr>
          <w:rFonts w:ascii="Times New Roman" w:hAnsi="Times New Roman"/>
          <w:sz w:val="24"/>
          <w:szCs w:val="24"/>
        </w:rPr>
      </w:pPr>
      <w:r>
        <w:rPr>
          <w:rFonts w:ascii="Times New Roman" w:hAnsi="Times New Roman"/>
          <w:sz w:val="24"/>
          <w:szCs w:val="24"/>
        </w:rPr>
        <w:t>Příloha č. 2</w:t>
      </w:r>
      <w:r>
        <w:rPr>
          <w:rFonts w:ascii="Times New Roman" w:hAnsi="Times New Roman"/>
          <w:sz w:val="24"/>
          <w:szCs w:val="24"/>
        </w:rPr>
        <w:tab/>
        <w:t>Přehled výsledků veřejnosprávních kontrol a auditů finančních prostředků ze zahraničí</w:t>
      </w:r>
    </w:p>
    <w:p w:rsidR="00F27B03" w:rsidRDefault="00F27B03" w:rsidP="006108AC">
      <w:pPr>
        <w:spacing w:line="480" w:lineRule="auto"/>
        <w:ind w:left="1410" w:hanging="1410"/>
        <w:rPr>
          <w:rFonts w:ascii="Times New Roman" w:hAnsi="Times New Roman"/>
          <w:sz w:val="24"/>
          <w:szCs w:val="24"/>
        </w:rPr>
      </w:pPr>
      <w:r>
        <w:rPr>
          <w:rFonts w:ascii="Times New Roman" w:hAnsi="Times New Roman"/>
          <w:sz w:val="24"/>
          <w:szCs w:val="24"/>
        </w:rPr>
        <w:t xml:space="preserve">Příloha č. 3 </w:t>
      </w:r>
      <w:r>
        <w:rPr>
          <w:rFonts w:ascii="Times New Roman" w:hAnsi="Times New Roman"/>
          <w:sz w:val="24"/>
          <w:szCs w:val="24"/>
        </w:rPr>
        <w:tab/>
        <w:t>Přehled nesrovnalostí postoupených Evropskému úřadu pro boj proti podvodům</w:t>
      </w:r>
    </w:p>
    <w:p w:rsidR="00F27B03" w:rsidRDefault="00F27B03" w:rsidP="00CA4396">
      <w:pPr>
        <w:spacing w:line="480" w:lineRule="auto"/>
        <w:ind w:left="1410" w:hanging="1410"/>
        <w:rPr>
          <w:rFonts w:ascii="Times New Roman" w:hAnsi="Times New Roman"/>
          <w:sz w:val="24"/>
          <w:szCs w:val="24"/>
        </w:rPr>
      </w:pPr>
      <w:r>
        <w:rPr>
          <w:rFonts w:ascii="Times New Roman" w:hAnsi="Times New Roman"/>
          <w:sz w:val="24"/>
          <w:szCs w:val="24"/>
        </w:rPr>
        <w:t xml:space="preserve">Příloha č. 4 </w:t>
      </w:r>
      <w:r>
        <w:rPr>
          <w:rFonts w:ascii="Times New Roman" w:hAnsi="Times New Roman"/>
          <w:sz w:val="24"/>
          <w:szCs w:val="24"/>
        </w:rPr>
        <w:tab/>
        <w:t>Přehled výročních kontrolních zpráv za rok 2014 postoupených Auditním orgánem ČR Evropské komisi, za jednotlivé operační programy, se stanoviskem o funkčnosti řídících a kontrolních systémů</w:t>
      </w:r>
    </w:p>
    <w:p w:rsidR="00F27B03" w:rsidRDefault="00F27B03" w:rsidP="00CA4396">
      <w:pPr>
        <w:spacing w:line="480" w:lineRule="auto"/>
        <w:ind w:left="1410" w:hanging="1410"/>
        <w:rPr>
          <w:rFonts w:ascii="Times New Roman" w:hAnsi="Times New Roman"/>
          <w:b/>
          <w:sz w:val="28"/>
          <w:szCs w:val="28"/>
        </w:rPr>
      </w:pPr>
    </w:p>
    <w:p w:rsidR="00F27B03" w:rsidRDefault="00F27B03" w:rsidP="00CA4396">
      <w:pPr>
        <w:spacing w:line="480" w:lineRule="auto"/>
        <w:ind w:left="1410" w:hanging="1410"/>
        <w:rPr>
          <w:rFonts w:ascii="Times New Roman" w:hAnsi="Times New Roman"/>
          <w:sz w:val="24"/>
          <w:szCs w:val="24"/>
        </w:rPr>
      </w:pPr>
      <w:r>
        <w:rPr>
          <w:rFonts w:ascii="Times New Roman" w:hAnsi="Times New Roman"/>
          <w:b/>
          <w:sz w:val="28"/>
          <w:szCs w:val="28"/>
        </w:rPr>
        <w:lastRenderedPageBreak/>
        <w:t>Seznam zkratek</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AO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Auditní orgán</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CO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Certifikační orgán</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ČMZRB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Českomoravská záruční a rozvojová banka</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FÚ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Finanční úřad</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GG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Globální grant</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GFŘ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Generální finanční ředitelství</w:t>
      </w:r>
    </w:p>
    <w:p w:rsidR="00F27B03" w:rsidRDefault="00F27B03" w:rsidP="002117A0">
      <w:pPr>
        <w:spacing w:after="0"/>
        <w:ind w:left="1412" w:hanging="1412"/>
        <w:rPr>
          <w:rFonts w:ascii="Times New Roman" w:hAnsi="Times New Roman"/>
          <w:sz w:val="24"/>
          <w:szCs w:val="24"/>
        </w:rPr>
      </w:pPr>
      <w:r>
        <w:rPr>
          <w:rFonts w:ascii="Times New Roman" w:hAnsi="Times New Roman"/>
          <w:sz w:val="24"/>
          <w:szCs w:val="24"/>
        </w:rPr>
        <w:t>GŘC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Generální ředitelství cel</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IS FKVS MKP</w:t>
      </w:r>
      <w:r>
        <w:rPr>
          <w:rFonts w:ascii="Times New Roman" w:hAnsi="Times New Roman"/>
          <w:sz w:val="24"/>
          <w:szCs w:val="24"/>
        </w:rPr>
        <w:tab/>
        <w:t>Informační systém finanční kontroly ve veřejné správě, modul koordinace plánování</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JŘBU</w:t>
      </w:r>
      <w:r>
        <w:rPr>
          <w:rFonts w:ascii="Times New Roman" w:hAnsi="Times New Roman"/>
          <w:sz w:val="24"/>
          <w:szCs w:val="24"/>
        </w:rPr>
        <w:tab/>
        <w:t>Jednací řízení bez uveřejnění</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KP</w:t>
      </w:r>
      <w:r>
        <w:rPr>
          <w:rFonts w:ascii="Times New Roman" w:hAnsi="Times New Roman"/>
          <w:sz w:val="24"/>
          <w:szCs w:val="24"/>
        </w:rPr>
        <w:tab/>
        <w:t>Klíčový požadavek</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NAS</w:t>
      </w:r>
      <w:r>
        <w:rPr>
          <w:rFonts w:ascii="Times New Roman" w:hAnsi="Times New Roman"/>
          <w:sz w:val="24"/>
          <w:szCs w:val="24"/>
        </w:rPr>
        <w:tab/>
        <w:t>Nezávislý auditní subjekt</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NKM</w:t>
      </w:r>
      <w:r>
        <w:rPr>
          <w:rFonts w:ascii="Times New Roman" w:hAnsi="Times New Roman"/>
          <w:sz w:val="24"/>
          <w:szCs w:val="24"/>
        </w:rPr>
        <w:tab/>
        <w:t>Národní kontaktní místo</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MFTK</w:t>
      </w:r>
      <w:r>
        <w:rPr>
          <w:rFonts w:ascii="Times New Roman" w:hAnsi="Times New Roman"/>
          <w:sz w:val="24"/>
          <w:szCs w:val="24"/>
        </w:rPr>
        <w:tab/>
        <w:t>Metodika finančních toků</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MZ</w:t>
      </w:r>
      <w:r>
        <w:rPr>
          <w:rFonts w:ascii="Times New Roman" w:hAnsi="Times New Roman"/>
          <w:sz w:val="24"/>
          <w:szCs w:val="24"/>
        </w:rPr>
        <w:tab/>
        <w:t>Monitorovací zpráva</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OFS</w:t>
      </w:r>
      <w:r>
        <w:rPr>
          <w:rFonts w:ascii="Times New Roman" w:hAnsi="Times New Roman"/>
          <w:sz w:val="24"/>
          <w:szCs w:val="24"/>
        </w:rPr>
        <w:tab/>
        <w:t>Okresní finanční správa</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PCO</w:t>
      </w:r>
      <w:r>
        <w:rPr>
          <w:rFonts w:ascii="Times New Roman" w:hAnsi="Times New Roman"/>
          <w:sz w:val="24"/>
          <w:szCs w:val="24"/>
        </w:rPr>
        <w:tab/>
        <w:t>Platební a certifikační orgán</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ŘKS</w:t>
      </w:r>
      <w:r>
        <w:rPr>
          <w:rFonts w:ascii="Times New Roman" w:hAnsi="Times New Roman"/>
          <w:sz w:val="24"/>
          <w:szCs w:val="24"/>
        </w:rPr>
        <w:tab/>
        <w:t>Řídící kontrolní systém</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ŘO</w:t>
      </w:r>
      <w:r>
        <w:rPr>
          <w:rFonts w:ascii="Times New Roman" w:hAnsi="Times New Roman"/>
          <w:sz w:val="24"/>
          <w:szCs w:val="24"/>
        </w:rPr>
        <w:tab/>
        <w:t>Řídící orgán</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SF a FS</w:t>
      </w:r>
      <w:r>
        <w:rPr>
          <w:rFonts w:ascii="Times New Roman" w:hAnsi="Times New Roman"/>
          <w:sz w:val="24"/>
          <w:szCs w:val="24"/>
        </w:rPr>
        <w:tab/>
        <w:t>Strukturální fondy a Fond soudržnosti</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TED</w:t>
      </w:r>
      <w:r>
        <w:rPr>
          <w:rFonts w:ascii="Times New Roman" w:hAnsi="Times New Roman"/>
          <w:sz w:val="24"/>
          <w:szCs w:val="24"/>
        </w:rPr>
        <w:tab/>
        <w:t>Informační systém Tenders Electronic Daily</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VKZ</w:t>
      </w:r>
      <w:r>
        <w:rPr>
          <w:rFonts w:ascii="Times New Roman" w:hAnsi="Times New Roman"/>
          <w:sz w:val="24"/>
          <w:szCs w:val="24"/>
        </w:rPr>
        <w:tab/>
        <w:t>Výroční kontrolní zpráva</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VZ</w:t>
      </w:r>
      <w:r>
        <w:rPr>
          <w:rFonts w:ascii="Times New Roman" w:hAnsi="Times New Roman"/>
          <w:sz w:val="24"/>
          <w:szCs w:val="24"/>
        </w:rPr>
        <w:tab/>
        <w:t>Veřejné zakázky</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ZD</w:t>
      </w:r>
      <w:r>
        <w:rPr>
          <w:rFonts w:ascii="Times New Roman" w:hAnsi="Times New Roman"/>
          <w:sz w:val="24"/>
          <w:szCs w:val="24"/>
        </w:rPr>
        <w:tab/>
        <w:t>Zadávací dokumentace</w:t>
      </w:r>
    </w:p>
    <w:p w:rsidR="00F27B03" w:rsidRDefault="00F27B03" w:rsidP="003B6172">
      <w:pPr>
        <w:spacing w:after="0"/>
        <w:ind w:left="2127" w:hanging="2127"/>
        <w:rPr>
          <w:rFonts w:ascii="Times New Roman" w:hAnsi="Times New Roman"/>
          <w:sz w:val="24"/>
          <w:szCs w:val="24"/>
        </w:rPr>
      </w:pPr>
      <w:r>
        <w:rPr>
          <w:rFonts w:ascii="Times New Roman" w:hAnsi="Times New Roman"/>
          <w:sz w:val="24"/>
          <w:szCs w:val="24"/>
        </w:rPr>
        <w:t>ZS</w:t>
      </w:r>
      <w:r>
        <w:rPr>
          <w:rFonts w:ascii="Times New Roman" w:hAnsi="Times New Roman"/>
          <w:sz w:val="24"/>
          <w:szCs w:val="24"/>
        </w:rPr>
        <w:tab/>
        <w:t>Zprostředkující subjekt</w:t>
      </w:r>
    </w:p>
    <w:p w:rsidR="00F27B03" w:rsidRDefault="00F27B03" w:rsidP="003B6172">
      <w:pPr>
        <w:spacing w:after="0"/>
        <w:ind w:left="2127" w:hanging="2127"/>
        <w:rPr>
          <w:rFonts w:ascii="Times New Roman" w:hAnsi="Times New Roman"/>
          <w:sz w:val="24"/>
          <w:szCs w:val="24"/>
        </w:rPr>
      </w:pPr>
    </w:p>
    <w:p w:rsidR="00F27B03" w:rsidRDefault="00F27B03" w:rsidP="003B6172">
      <w:pPr>
        <w:spacing w:after="0"/>
        <w:ind w:left="2127" w:hanging="2127"/>
        <w:rPr>
          <w:rFonts w:ascii="Times New Roman" w:hAnsi="Times New Roman"/>
          <w:sz w:val="24"/>
          <w:szCs w:val="24"/>
        </w:rPr>
      </w:pPr>
    </w:p>
    <w:p w:rsidR="00F27B03" w:rsidRDefault="00F27B03" w:rsidP="003B6172">
      <w:pPr>
        <w:spacing w:after="0"/>
        <w:ind w:left="2127" w:hanging="2127"/>
        <w:rPr>
          <w:rFonts w:ascii="Times New Roman" w:hAnsi="Times New Roman"/>
          <w:sz w:val="24"/>
          <w:szCs w:val="24"/>
        </w:rPr>
      </w:pPr>
    </w:p>
    <w:p w:rsidR="00F27B03" w:rsidRDefault="00F27B03" w:rsidP="003B6172">
      <w:pPr>
        <w:spacing w:after="0"/>
        <w:ind w:left="2127" w:hanging="2127"/>
        <w:rPr>
          <w:rFonts w:ascii="Times New Roman" w:hAnsi="Times New Roman"/>
          <w:sz w:val="24"/>
          <w:szCs w:val="24"/>
        </w:rPr>
      </w:pPr>
    </w:p>
    <w:p w:rsidR="00F27B03" w:rsidRDefault="00F27B03" w:rsidP="003B6172">
      <w:pPr>
        <w:spacing w:after="0"/>
        <w:ind w:left="2127" w:hanging="2127"/>
        <w:rPr>
          <w:rFonts w:ascii="Times New Roman" w:hAnsi="Times New Roman"/>
          <w:sz w:val="24"/>
          <w:szCs w:val="24"/>
        </w:rPr>
      </w:pPr>
    </w:p>
    <w:p w:rsidR="00F27B03" w:rsidRPr="00CA4396" w:rsidRDefault="00F27B03" w:rsidP="00CA4396">
      <w:pPr>
        <w:spacing w:line="480" w:lineRule="auto"/>
        <w:ind w:left="1410" w:hanging="1410"/>
        <w:rPr>
          <w:rFonts w:ascii="Times New Roman" w:hAnsi="Times New Roman"/>
          <w:sz w:val="24"/>
          <w:szCs w:val="24"/>
        </w:rPr>
      </w:pPr>
    </w:p>
    <w:p w:rsidR="00F27B03" w:rsidRPr="009031A7" w:rsidRDefault="00F27B03" w:rsidP="008D6625">
      <w:pPr>
        <w:pStyle w:val="Odstavecseseznamem"/>
        <w:numPr>
          <w:ilvl w:val="0"/>
          <w:numId w:val="2"/>
        </w:numPr>
        <w:ind w:left="284" w:hanging="284"/>
        <w:rPr>
          <w:rFonts w:ascii="Times New Roman" w:hAnsi="Times New Roman"/>
          <w:b/>
          <w:sz w:val="28"/>
          <w:szCs w:val="28"/>
        </w:rPr>
      </w:pPr>
      <w:r w:rsidRPr="009031A7">
        <w:rPr>
          <w:rFonts w:ascii="Times New Roman" w:hAnsi="Times New Roman"/>
          <w:b/>
          <w:sz w:val="28"/>
          <w:szCs w:val="28"/>
        </w:rPr>
        <w:lastRenderedPageBreak/>
        <w:t xml:space="preserve">Úvod </w:t>
      </w:r>
    </w:p>
    <w:p w:rsidR="00F27B03" w:rsidRDefault="00F27B03" w:rsidP="00E85477">
      <w:pPr>
        <w:ind w:firstLine="284"/>
        <w:rPr>
          <w:rFonts w:ascii="Times New Roman" w:hAnsi="Times New Roman"/>
          <w:sz w:val="24"/>
          <w:szCs w:val="24"/>
        </w:rPr>
      </w:pPr>
      <w:r>
        <w:rPr>
          <w:rFonts w:ascii="Times New Roman" w:hAnsi="Times New Roman"/>
          <w:sz w:val="24"/>
          <w:szCs w:val="24"/>
        </w:rPr>
        <w:t>Zpráva o výsledcích finančních kontrol ve veřejné správě za rok 2014 (dále jen zpráva) je předložena vládě České republiky v souladu s ustanovením § 22 zákona č. 320/2001 Sb., o finanční kontrole ve veřejné správě a o změně některých zákonů (o finanční kontrole), ve znění pozdějších předpisů a v souladu s usnesením vlády č. 1058/2014 ze dne 15. prosince 2014 o Plánu nelegislativních úkolů vlády na 1. pololetí 2015.</w:t>
      </w:r>
    </w:p>
    <w:p w:rsidR="00F27B03" w:rsidRPr="002405F4" w:rsidRDefault="00F27B03" w:rsidP="002405F4">
      <w:pPr>
        <w:pStyle w:val="Zkladntext"/>
        <w:rPr>
          <w:rFonts w:ascii="Times New Roman" w:eastAsia="SimSun" w:hAnsi="Times New Roman" w:cs="Mangal"/>
          <w:kern w:val="1"/>
          <w:sz w:val="24"/>
          <w:szCs w:val="24"/>
          <w:lang w:eastAsia="hi-IN" w:bidi="hi-IN"/>
        </w:rPr>
      </w:pPr>
      <w:r>
        <w:rPr>
          <w:rFonts w:ascii="Times New Roman" w:hAnsi="Times New Roman"/>
          <w:sz w:val="24"/>
          <w:szCs w:val="24"/>
        </w:rPr>
        <w:t xml:space="preserve">Předložená zpráva je zpracována v souladu s vyhláškou č. 416/2004 Sb., kterou se provádí zákon o finanční kontrole. Zpráva hodnotí výsledky jednotlivých součástí finanční kontroly, vyhodnocuje roční výsledky a účinnost systému finančního řízení a kontroly v odpovědnosti řídících a výkonných struktur, </w:t>
      </w:r>
      <w:r w:rsidRPr="002405F4">
        <w:rPr>
          <w:rFonts w:ascii="Times New Roman" w:eastAsia="SimSun" w:hAnsi="Times New Roman" w:cs="Mangal"/>
          <w:kern w:val="1"/>
          <w:sz w:val="24"/>
          <w:szCs w:val="24"/>
          <w:lang w:eastAsia="hi-IN" w:bidi="hi-IN"/>
        </w:rPr>
        <w:t>vyhodnocuje výsledky veřejnosprávních kontrol hospodaření s</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 xml:space="preserve">prostředky veřejných rozpočtů České republiky a veřejnosprávních kontrol a auditů finančních prostředků ze zahraničí. Zpráva současně hodnotí i výsledky </w:t>
      </w:r>
      <w:r>
        <w:rPr>
          <w:rFonts w:ascii="Times New Roman" w:eastAsia="SimSun" w:hAnsi="Times New Roman" w:cs="Mangal"/>
          <w:kern w:val="1"/>
          <w:sz w:val="24"/>
          <w:szCs w:val="24"/>
          <w:lang w:eastAsia="hi-IN" w:bidi="hi-IN"/>
        </w:rPr>
        <w:t>ú</w:t>
      </w:r>
      <w:r w:rsidRPr="002405F4">
        <w:rPr>
          <w:rFonts w:ascii="Times New Roman" w:eastAsia="SimSun" w:hAnsi="Times New Roman" w:cs="Mangal"/>
          <w:kern w:val="1"/>
          <w:sz w:val="24"/>
          <w:szCs w:val="24"/>
          <w:lang w:eastAsia="hi-IN" w:bidi="hi-IN"/>
        </w:rPr>
        <w:t xml:space="preserve">činnosti </w:t>
      </w:r>
      <w:r>
        <w:rPr>
          <w:rFonts w:ascii="Times New Roman" w:eastAsia="SimSun" w:hAnsi="Times New Roman" w:cs="Mangal"/>
          <w:kern w:val="1"/>
          <w:sz w:val="24"/>
          <w:szCs w:val="24"/>
          <w:lang w:eastAsia="hi-IN" w:bidi="hi-IN"/>
        </w:rPr>
        <w:t>i</w:t>
      </w:r>
      <w:r w:rsidRPr="002405F4">
        <w:rPr>
          <w:rFonts w:ascii="Times New Roman" w:eastAsia="SimSun" w:hAnsi="Times New Roman" w:cs="Mangal"/>
          <w:kern w:val="1"/>
          <w:sz w:val="24"/>
          <w:szCs w:val="24"/>
          <w:lang w:eastAsia="hi-IN" w:bidi="hi-IN"/>
        </w:rPr>
        <w:t>nterního auditu v orgánech veřejné správy, ochranu proti podvodnému jednání a podává přehled o</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závažných zjištěních z vykonaných finančních kontrol a centrální harmonizace finanční kontroly ve veřejné správě.</w:t>
      </w:r>
    </w:p>
    <w:p w:rsidR="00F27B03" w:rsidRPr="002405F4" w:rsidRDefault="00F27B03" w:rsidP="002405F4">
      <w:pPr>
        <w:widowControl w:val="0"/>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 xml:space="preserve">Součástí zprávy je vyhodnocení plnění usnesení vlády České republiky č. </w:t>
      </w:r>
      <w:r>
        <w:rPr>
          <w:rFonts w:ascii="Times New Roman" w:eastAsia="SimSun" w:hAnsi="Times New Roman" w:cs="Mangal"/>
          <w:kern w:val="1"/>
          <w:sz w:val="24"/>
          <w:szCs w:val="24"/>
          <w:lang w:eastAsia="hi-IN" w:bidi="hi-IN"/>
        </w:rPr>
        <w:t>44</w:t>
      </w:r>
      <w:r w:rsidRPr="002405F4">
        <w:rPr>
          <w:rFonts w:ascii="Times New Roman" w:eastAsia="SimSun" w:hAnsi="Times New Roman" w:cs="Mangal"/>
          <w:kern w:val="1"/>
          <w:sz w:val="24"/>
          <w:szCs w:val="24"/>
          <w:lang w:eastAsia="hi-IN" w:bidi="hi-IN"/>
        </w:rPr>
        <w:t>5/2014 ke Zprávě o výsledcích finančních kontrol ve veřejné správě za rok 2013, kterým bylo členům vlády a vedoucím ostatních správních úřadů uloženo zajistit přijetí opatření ke zvýšení účinnosti finančního řízení a kontroly v odpovědnosti řídících a výkonných struktur, interního auditu a veřejnosprávních kontrol při prosazování řádného hospodaření s finančními prostředky a majetkem orgánů státní správy; zajistit zaměření finanční kontroly zejména na odhalování podezření nasvědčujícímu tomu, že při hospodaření s finančními prostředky a</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majetkem došlo ke spáchání trestn</w:t>
      </w:r>
      <w:r>
        <w:rPr>
          <w:rFonts w:ascii="Times New Roman" w:eastAsia="SimSun" w:hAnsi="Times New Roman" w:cs="Mangal"/>
          <w:kern w:val="1"/>
          <w:sz w:val="24"/>
          <w:szCs w:val="24"/>
          <w:lang w:eastAsia="hi-IN" w:bidi="hi-IN"/>
        </w:rPr>
        <w:t>ý</w:t>
      </w:r>
      <w:r w:rsidRPr="002405F4">
        <w:rPr>
          <w:rFonts w:ascii="Times New Roman" w:eastAsia="SimSun" w:hAnsi="Times New Roman" w:cs="Mangal"/>
          <w:kern w:val="1"/>
          <w:sz w:val="24"/>
          <w:szCs w:val="24"/>
          <w:lang w:eastAsia="hi-IN" w:bidi="hi-IN"/>
        </w:rPr>
        <w:t>ch činů, zajistit zaměření finančních kontrol na zjišťování nedostatků v dod</w:t>
      </w:r>
      <w:r>
        <w:rPr>
          <w:rFonts w:ascii="Times New Roman" w:eastAsia="SimSun" w:hAnsi="Times New Roman" w:cs="Mangal"/>
          <w:kern w:val="1"/>
          <w:sz w:val="24"/>
          <w:szCs w:val="24"/>
          <w:lang w:eastAsia="hi-IN" w:bidi="hi-IN"/>
        </w:rPr>
        <w:t>r</w:t>
      </w:r>
      <w:r w:rsidRPr="002405F4">
        <w:rPr>
          <w:rFonts w:ascii="Times New Roman" w:eastAsia="SimSun" w:hAnsi="Times New Roman" w:cs="Mangal"/>
          <w:kern w:val="1"/>
          <w:sz w:val="24"/>
          <w:szCs w:val="24"/>
          <w:lang w:eastAsia="hi-IN" w:bidi="hi-IN"/>
        </w:rPr>
        <w:t xml:space="preserve">žování zákona č. 137/2006 Sb., o veřejných zakázkách a na porušování rozpočtové kázně podle zákona č. 218/2000 Sb., </w:t>
      </w:r>
      <w:r>
        <w:rPr>
          <w:rFonts w:ascii="Times New Roman" w:eastAsia="SimSun" w:hAnsi="Times New Roman"/>
          <w:kern w:val="1"/>
          <w:sz w:val="24"/>
          <w:szCs w:val="24"/>
          <w:lang w:eastAsia="hi-IN" w:bidi="hi-IN"/>
        </w:rPr>
        <w:t>o rozpočtových pravidlech</w:t>
      </w:r>
      <w:r w:rsidRPr="002405F4">
        <w:rPr>
          <w:rFonts w:ascii="Times New Roman" w:eastAsia="SimSun" w:hAnsi="Times New Roman" w:cs="Mangal"/>
          <w:kern w:val="1"/>
          <w:sz w:val="24"/>
          <w:szCs w:val="24"/>
          <w:lang w:eastAsia="hi-IN" w:bidi="hi-IN"/>
        </w:rPr>
        <w:t>.</w:t>
      </w:r>
    </w:p>
    <w:p w:rsidR="00F27B03" w:rsidRPr="002405F4" w:rsidRDefault="00F27B03" w:rsidP="002405F4">
      <w:pPr>
        <w:widowControl w:val="0"/>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Hodnocení výsledků finančních kontrol uvedené ve zprávě vychází z poznatků z</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 xml:space="preserve">jednotlivých zpráv o výsledcích finančních kontrol za rok 2014, které v souladu s § 22 odst. 2 zákona č. 320/2001 Sb., o finanční kontrole předkládají Ministerstvu financí všichni správci kapitol státního rozpočtu, všechny kraje včetně hlavního města Prahy a všechny regionální rady regionů soudržnosti. Roční zprávy správců kapitol státního rozpočtu zahrnují poznatky ze zpráv jimi zřízených orgánů státní správy. Roční zprávy krajů a hlavního města Prahy zahrnují poznatky ze zpráv předložených jimi zřízenými organizacemi, statutárními městy, </w:t>
      </w:r>
      <w:r w:rsidRPr="002405F4">
        <w:rPr>
          <w:rFonts w:ascii="Times New Roman" w:eastAsia="SimSun" w:hAnsi="Times New Roman" w:cs="Mangal"/>
          <w:kern w:val="1"/>
          <w:sz w:val="24"/>
          <w:szCs w:val="24"/>
          <w:lang w:eastAsia="hi-IN" w:bidi="hi-IN"/>
        </w:rPr>
        <w:lastRenderedPageBreak/>
        <w:t xml:space="preserve">městy, městskými částmi a obcemi. Ve zprávě jsou využity i zkušenosti a poznatky Ministerstva financí z výkonu činnosti Auditního orgánu, z jeho metodické a koordinační </w:t>
      </w:r>
      <w:r>
        <w:rPr>
          <w:rFonts w:ascii="Times New Roman" w:eastAsia="SimSun" w:hAnsi="Times New Roman" w:cs="Mangal"/>
          <w:kern w:val="1"/>
          <w:sz w:val="24"/>
          <w:szCs w:val="24"/>
          <w:lang w:eastAsia="hi-IN" w:bidi="hi-IN"/>
        </w:rPr>
        <w:t>činnosti</w:t>
      </w:r>
      <w:r w:rsidRPr="002405F4">
        <w:rPr>
          <w:rFonts w:ascii="Times New Roman" w:eastAsia="SimSun" w:hAnsi="Times New Roman" w:cs="Mangal"/>
          <w:kern w:val="1"/>
          <w:sz w:val="24"/>
          <w:szCs w:val="24"/>
          <w:lang w:eastAsia="hi-IN" w:bidi="hi-IN"/>
        </w:rPr>
        <w:t xml:space="preserve"> při zajišťování finančních kontrol prostředků Evropské unie poskytnutých České republice, podle ustanovení § 7 zákona č. 320/2001 Sb., o finanční kontrole.</w:t>
      </w:r>
    </w:p>
    <w:p w:rsidR="00F27B03" w:rsidRPr="002405F4" w:rsidRDefault="00F27B03" w:rsidP="002405F4">
      <w:pPr>
        <w:widowControl w:val="0"/>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 xml:space="preserve">Zhodnocení výsledků finančních kontrol ve veřejné správě za rok 2014 provedlo prostřednictvím </w:t>
      </w:r>
      <w:r>
        <w:rPr>
          <w:rFonts w:ascii="Times New Roman" w:eastAsia="SimSun" w:hAnsi="Times New Roman" w:cs="Mangal"/>
          <w:kern w:val="1"/>
          <w:sz w:val="24"/>
          <w:szCs w:val="24"/>
          <w:lang w:eastAsia="hi-IN" w:bidi="hi-IN"/>
        </w:rPr>
        <w:t>I</w:t>
      </w:r>
      <w:r w:rsidRPr="002405F4">
        <w:rPr>
          <w:rFonts w:ascii="Times New Roman" w:eastAsia="SimSun" w:hAnsi="Times New Roman" w:cs="Mangal"/>
          <w:kern w:val="1"/>
          <w:sz w:val="24"/>
          <w:szCs w:val="24"/>
          <w:lang w:eastAsia="hi-IN" w:bidi="hi-IN"/>
        </w:rPr>
        <w:t xml:space="preserve">nformačního systému </w:t>
      </w:r>
      <w:r>
        <w:rPr>
          <w:rFonts w:ascii="Times New Roman" w:eastAsia="SimSun" w:hAnsi="Times New Roman" w:cs="Mangal"/>
          <w:kern w:val="1"/>
          <w:sz w:val="24"/>
          <w:szCs w:val="24"/>
          <w:lang w:eastAsia="hi-IN" w:bidi="hi-IN"/>
        </w:rPr>
        <w:t>f</w:t>
      </w:r>
      <w:r w:rsidRPr="002405F4">
        <w:rPr>
          <w:rFonts w:ascii="Times New Roman" w:eastAsia="SimSun" w:hAnsi="Times New Roman" w:cs="Mangal"/>
          <w:kern w:val="1"/>
          <w:sz w:val="24"/>
          <w:szCs w:val="24"/>
          <w:lang w:eastAsia="hi-IN" w:bidi="hi-IN"/>
        </w:rPr>
        <w:t xml:space="preserve">inanční kontroly ve veřejné správě celkem </w:t>
      </w:r>
      <w:r>
        <w:rPr>
          <w:rFonts w:ascii="Times New Roman" w:eastAsia="SimSun" w:hAnsi="Times New Roman" w:cs="Mangal"/>
          <w:kern w:val="1"/>
          <w:sz w:val="24"/>
          <w:szCs w:val="24"/>
          <w:lang w:eastAsia="hi-IN" w:bidi="hi-IN"/>
        </w:rPr>
        <w:t xml:space="preserve">11 229 </w:t>
      </w:r>
      <w:r w:rsidRPr="002405F4">
        <w:rPr>
          <w:rFonts w:ascii="Times New Roman" w:eastAsia="SimSun" w:hAnsi="Times New Roman" w:cs="Mangal"/>
          <w:kern w:val="1"/>
          <w:sz w:val="24"/>
          <w:szCs w:val="24"/>
          <w:lang w:eastAsia="hi-IN" w:bidi="hi-IN"/>
        </w:rPr>
        <w:t xml:space="preserve">orgánů veřejné správy, z toho </w:t>
      </w:r>
      <w:r>
        <w:rPr>
          <w:rFonts w:ascii="Times New Roman" w:eastAsia="SimSun" w:hAnsi="Times New Roman" w:cs="Mangal"/>
          <w:kern w:val="1"/>
          <w:sz w:val="24"/>
          <w:szCs w:val="24"/>
          <w:lang w:eastAsia="hi-IN" w:bidi="hi-IN"/>
        </w:rPr>
        <w:t>592</w:t>
      </w:r>
      <w:r w:rsidRPr="002405F4">
        <w:rPr>
          <w:rFonts w:ascii="Times New Roman" w:eastAsia="SimSun" w:hAnsi="Times New Roman" w:cs="Mangal"/>
          <w:kern w:val="1"/>
          <w:sz w:val="24"/>
          <w:szCs w:val="24"/>
          <w:lang w:eastAsia="hi-IN" w:bidi="hi-IN"/>
        </w:rPr>
        <w:t xml:space="preserve"> orgánů státní správy, </w:t>
      </w:r>
      <w:r>
        <w:rPr>
          <w:rFonts w:ascii="Times New Roman" w:eastAsia="SimSun" w:hAnsi="Times New Roman" w:cs="Mangal"/>
          <w:kern w:val="1"/>
          <w:sz w:val="24"/>
          <w:szCs w:val="24"/>
          <w:lang w:eastAsia="hi-IN" w:bidi="hi-IN"/>
        </w:rPr>
        <w:t>10 630</w:t>
      </w:r>
      <w:r w:rsidRPr="002405F4">
        <w:rPr>
          <w:rFonts w:ascii="Times New Roman" w:eastAsia="SimSun" w:hAnsi="Times New Roman" w:cs="Mangal"/>
          <w:kern w:val="1"/>
          <w:sz w:val="24"/>
          <w:szCs w:val="24"/>
          <w:lang w:eastAsia="hi-IN" w:bidi="hi-IN"/>
        </w:rPr>
        <w:t xml:space="preserve"> orgánů a organizací</w:t>
      </w:r>
      <w:r>
        <w:rPr>
          <w:rFonts w:ascii="Times New Roman" w:eastAsia="SimSun" w:hAnsi="Times New Roman" w:cs="Mangal"/>
          <w:kern w:val="1"/>
          <w:sz w:val="24"/>
          <w:szCs w:val="24"/>
          <w:lang w:eastAsia="hi-IN" w:bidi="hi-IN"/>
        </w:rPr>
        <w:t xml:space="preserve"> </w:t>
      </w:r>
      <w:r w:rsidRPr="002405F4">
        <w:rPr>
          <w:rFonts w:ascii="Times New Roman" w:eastAsia="SimSun" w:hAnsi="Times New Roman" w:cs="Mangal"/>
          <w:kern w:val="1"/>
          <w:sz w:val="24"/>
          <w:szCs w:val="24"/>
          <w:lang w:eastAsia="hi-IN" w:bidi="hi-IN"/>
        </w:rPr>
        <w:t>v</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působnosti územn</w:t>
      </w:r>
      <w:r>
        <w:rPr>
          <w:rFonts w:ascii="Times New Roman" w:eastAsia="SimSun" w:hAnsi="Times New Roman" w:cs="Mangal"/>
          <w:kern w:val="1"/>
          <w:sz w:val="24"/>
          <w:szCs w:val="24"/>
          <w:lang w:eastAsia="hi-IN" w:bidi="hi-IN"/>
        </w:rPr>
        <w:t xml:space="preserve">ích </w:t>
      </w:r>
      <w:r w:rsidRPr="002405F4">
        <w:rPr>
          <w:rFonts w:ascii="Times New Roman" w:eastAsia="SimSun" w:hAnsi="Times New Roman" w:cs="Mangal"/>
          <w:kern w:val="1"/>
          <w:sz w:val="24"/>
          <w:szCs w:val="24"/>
          <w:lang w:eastAsia="hi-IN" w:bidi="hi-IN"/>
        </w:rPr>
        <w:t>samosprávných celků a 7 regionálních rad regionů soudržnosti.</w:t>
      </w:r>
    </w:p>
    <w:p w:rsidR="00F27B03" w:rsidRPr="002405F4" w:rsidRDefault="00F27B03" w:rsidP="008D6625">
      <w:pPr>
        <w:widowControl w:val="0"/>
        <w:suppressAutoHyphens/>
        <w:rPr>
          <w:rFonts w:ascii="Times New Roman" w:eastAsia="SimSun" w:hAnsi="Times New Roman" w:cs="Mangal"/>
          <w:kern w:val="1"/>
          <w:sz w:val="24"/>
          <w:szCs w:val="24"/>
          <w:lang w:eastAsia="hi-IN" w:bidi="hi-IN"/>
        </w:rPr>
      </w:pPr>
    </w:p>
    <w:p w:rsidR="00F27B03" w:rsidRPr="002405F4" w:rsidRDefault="00F27B03" w:rsidP="008D6625">
      <w:pPr>
        <w:pStyle w:val="Odstavecseseznamem"/>
        <w:widowControl w:val="0"/>
        <w:numPr>
          <w:ilvl w:val="0"/>
          <w:numId w:val="2"/>
        </w:numPr>
        <w:suppressAutoHyphens/>
        <w:ind w:left="709" w:hanging="709"/>
        <w:rPr>
          <w:rFonts w:ascii="Times New Roman" w:eastAsia="SimSun" w:hAnsi="Times New Roman" w:cs="Mangal"/>
          <w:kern w:val="1"/>
          <w:sz w:val="28"/>
          <w:szCs w:val="28"/>
          <w:lang w:eastAsia="hi-IN" w:bidi="hi-IN"/>
        </w:rPr>
      </w:pPr>
      <w:r w:rsidRPr="002405F4">
        <w:rPr>
          <w:rFonts w:ascii="Times New Roman" w:eastAsia="SimSun" w:hAnsi="Times New Roman" w:cs="Mangal"/>
          <w:b/>
          <w:bCs/>
          <w:kern w:val="1"/>
          <w:sz w:val="28"/>
          <w:szCs w:val="28"/>
          <w:lang w:eastAsia="hi-IN" w:bidi="hi-IN"/>
        </w:rPr>
        <w:t>Finanční řízení a kontrola</w:t>
      </w: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Ve všech orgánech veřejné správy se v průběhu roku 2014 zpřesňovalo a formovalo kontrolní prostředí pro zajištění finančního řízení a kontroly v odpovědnosti vedoucích zaměstnanců řídících a výkonných struktur. Ke zkvalitnění výkonu finančního řízení a</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kontroly a zvýšení účinnosti vnitřního kontrolního systému přispělo i využití poznatků z</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provedených</w:t>
      </w:r>
      <w:r>
        <w:rPr>
          <w:rFonts w:ascii="Times New Roman" w:eastAsia="SimSun" w:hAnsi="Times New Roman" w:cs="Mangal"/>
          <w:kern w:val="1"/>
          <w:sz w:val="24"/>
          <w:szCs w:val="24"/>
          <w:lang w:eastAsia="hi-IN" w:bidi="hi-IN"/>
        </w:rPr>
        <w:t xml:space="preserve"> </w:t>
      </w:r>
      <w:r w:rsidRPr="002405F4">
        <w:rPr>
          <w:rFonts w:ascii="Times New Roman" w:eastAsia="SimSun" w:hAnsi="Times New Roman" w:cs="Mangal"/>
          <w:kern w:val="1"/>
          <w:sz w:val="24"/>
          <w:szCs w:val="24"/>
          <w:lang w:eastAsia="hi-IN" w:bidi="hi-IN"/>
        </w:rPr>
        <w:t>interních auditů a veřejnosprávních kontrol. Do finančního řízení a kontroly byl</w:t>
      </w:r>
      <w:r>
        <w:rPr>
          <w:rFonts w:ascii="Times New Roman" w:eastAsia="SimSun" w:hAnsi="Times New Roman" w:cs="Mangal"/>
          <w:kern w:val="1"/>
          <w:sz w:val="24"/>
          <w:szCs w:val="24"/>
          <w:lang w:eastAsia="hi-IN" w:bidi="hi-IN"/>
        </w:rPr>
        <w:t>i</w:t>
      </w:r>
      <w:r w:rsidRPr="002405F4">
        <w:rPr>
          <w:rFonts w:ascii="Times New Roman" w:eastAsia="SimSun" w:hAnsi="Times New Roman" w:cs="Mangal"/>
          <w:kern w:val="1"/>
          <w:sz w:val="24"/>
          <w:szCs w:val="24"/>
          <w:lang w:eastAsia="hi-IN" w:bidi="hi-IN"/>
        </w:rPr>
        <w:t xml:space="preserve"> zejména v menších městech a obcích zapojeni také členové finančních a kontrolních výborů zastupitelstev. </w:t>
      </w: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Při zabezpečování finančního řízení a kontroly byla posílena role vnitřních předpisů, které byly ve většině případů novelizovány. Ve většině or</w:t>
      </w:r>
      <w:r>
        <w:rPr>
          <w:rFonts w:ascii="Times New Roman" w:eastAsia="SimSun" w:hAnsi="Times New Roman" w:cs="Mangal"/>
          <w:kern w:val="1"/>
          <w:sz w:val="24"/>
          <w:szCs w:val="24"/>
          <w:lang w:eastAsia="hi-IN" w:bidi="hi-IN"/>
        </w:rPr>
        <w:t>g</w:t>
      </w:r>
      <w:r w:rsidRPr="002405F4">
        <w:rPr>
          <w:rFonts w:ascii="Times New Roman" w:eastAsia="SimSun" w:hAnsi="Times New Roman" w:cs="Mangal"/>
          <w:kern w:val="1"/>
          <w:sz w:val="24"/>
          <w:szCs w:val="24"/>
          <w:lang w:eastAsia="hi-IN" w:bidi="hi-IN"/>
        </w:rPr>
        <w:t>án</w:t>
      </w:r>
      <w:r>
        <w:rPr>
          <w:rFonts w:ascii="Times New Roman" w:eastAsia="SimSun" w:hAnsi="Times New Roman" w:cs="Mangal"/>
          <w:kern w:val="1"/>
          <w:sz w:val="24"/>
          <w:szCs w:val="24"/>
          <w:lang w:eastAsia="hi-IN" w:bidi="hi-IN"/>
        </w:rPr>
        <w:t>ů</w:t>
      </w:r>
      <w:r w:rsidRPr="002405F4">
        <w:rPr>
          <w:rFonts w:ascii="Times New Roman" w:eastAsia="SimSun" w:hAnsi="Times New Roman" w:cs="Mangal"/>
          <w:kern w:val="1"/>
          <w:sz w:val="24"/>
          <w:szCs w:val="24"/>
          <w:lang w:eastAsia="hi-IN" w:bidi="hi-IN"/>
        </w:rPr>
        <w:t xml:space="preserve"> veřejné správy byly novelizovány organizační řády, které upravují pravomoci vedoucích a ostatních zaměstnanců odpovědných za uskutečňování veřejných příjmů a výdajů, podle nově nastavených organizačních struktur. Rozšířilo se používání ekonomických a dalších informačních systémů, případně se rozšiřoval</w:t>
      </w:r>
      <w:r>
        <w:rPr>
          <w:rFonts w:ascii="Times New Roman" w:eastAsia="SimSun" w:hAnsi="Times New Roman" w:cs="Mangal"/>
          <w:kern w:val="1"/>
          <w:sz w:val="24"/>
          <w:szCs w:val="24"/>
          <w:lang w:eastAsia="hi-IN" w:bidi="hi-IN"/>
        </w:rPr>
        <w:t>y</w:t>
      </w:r>
      <w:r w:rsidRPr="002405F4">
        <w:rPr>
          <w:rFonts w:ascii="Times New Roman" w:eastAsia="SimSun" w:hAnsi="Times New Roman" w:cs="Mangal"/>
          <w:kern w:val="1"/>
          <w:sz w:val="24"/>
          <w:szCs w:val="24"/>
          <w:lang w:eastAsia="hi-IN" w:bidi="hi-IN"/>
        </w:rPr>
        <w:t xml:space="preserve"> jejich stávající funkce. V souladu s usnesením vlády č. </w:t>
      </w:r>
      <w:r>
        <w:rPr>
          <w:rFonts w:ascii="Times New Roman" w:eastAsia="SimSun" w:hAnsi="Times New Roman" w:cs="Mangal"/>
          <w:kern w:val="1"/>
          <w:sz w:val="24"/>
          <w:szCs w:val="24"/>
          <w:lang w:eastAsia="hi-IN" w:bidi="hi-IN"/>
        </w:rPr>
        <w:t>445/</w:t>
      </w:r>
      <w:r w:rsidRPr="002405F4">
        <w:rPr>
          <w:rFonts w:ascii="Times New Roman" w:eastAsia="SimSun" w:hAnsi="Times New Roman" w:cs="Mangal"/>
          <w:kern w:val="1"/>
          <w:sz w:val="24"/>
          <w:szCs w:val="24"/>
          <w:lang w:eastAsia="hi-IN" w:bidi="hi-IN"/>
        </w:rPr>
        <w:t xml:space="preserve">2014 byl zprovozněn informační systém pro plánování kontrol použitelný jak pro plánování veřejnosprávních kontrol národních prostředků, tak </w:t>
      </w:r>
      <w:r>
        <w:rPr>
          <w:rFonts w:ascii="Times New Roman" w:eastAsia="SimSun" w:hAnsi="Times New Roman" w:cs="Mangal"/>
          <w:kern w:val="1"/>
          <w:sz w:val="24"/>
          <w:szCs w:val="24"/>
          <w:lang w:eastAsia="hi-IN" w:bidi="hi-IN"/>
        </w:rPr>
        <w:t xml:space="preserve">i </w:t>
      </w:r>
      <w:r w:rsidRPr="002405F4">
        <w:rPr>
          <w:rFonts w:ascii="Times New Roman" w:eastAsia="SimSun" w:hAnsi="Times New Roman" w:cs="Mangal"/>
          <w:kern w:val="1"/>
          <w:sz w:val="24"/>
          <w:szCs w:val="24"/>
          <w:lang w:eastAsia="hi-IN" w:bidi="hi-IN"/>
        </w:rPr>
        <w:t>pro řídící orgány pro plánování kontrol prostředků Evrop</w:t>
      </w:r>
      <w:r>
        <w:rPr>
          <w:rFonts w:ascii="Times New Roman" w:eastAsia="SimSun" w:hAnsi="Times New Roman" w:cs="Mangal"/>
          <w:kern w:val="1"/>
          <w:sz w:val="24"/>
          <w:szCs w:val="24"/>
          <w:lang w:eastAsia="hi-IN" w:bidi="hi-IN"/>
        </w:rPr>
        <w:t>s</w:t>
      </w:r>
      <w:r w:rsidRPr="002405F4">
        <w:rPr>
          <w:rFonts w:ascii="Times New Roman" w:eastAsia="SimSun" w:hAnsi="Times New Roman" w:cs="Mangal"/>
          <w:kern w:val="1"/>
          <w:sz w:val="24"/>
          <w:szCs w:val="24"/>
          <w:lang w:eastAsia="hi-IN" w:bidi="hi-IN"/>
        </w:rPr>
        <w:t>ké unie poskytnutých České republice</w:t>
      </w:r>
      <w:r>
        <w:rPr>
          <w:rFonts w:ascii="Times New Roman" w:eastAsia="SimSun" w:hAnsi="Times New Roman" w:cs="Mangal"/>
          <w:kern w:val="1"/>
          <w:sz w:val="24"/>
          <w:szCs w:val="24"/>
          <w:lang w:eastAsia="hi-IN" w:bidi="hi-IN"/>
        </w:rPr>
        <w:t>. Používání tohoto systému</w:t>
      </w:r>
      <w:r w:rsidRPr="002405F4">
        <w:rPr>
          <w:rFonts w:ascii="Times New Roman" w:eastAsia="SimSun" w:hAnsi="Times New Roman" w:cs="Mangal"/>
          <w:kern w:val="1"/>
          <w:sz w:val="24"/>
          <w:szCs w:val="24"/>
          <w:lang w:eastAsia="hi-IN" w:bidi="hi-IN"/>
        </w:rPr>
        <w:t xml:space="preserve"> je pro řídící orgány </w:t>
      </w:r>
      <w:r>
        <w:rPr>
          <w:rFonts w:ascii="Times New Roman" w:eastAsia="SimSun" w:hAnsi="Times New Roman" w:cs="Mangal"/>
          <w:kern w:val="1"/>
          <w:sz w:val="24"/>
          <w:szCs w:val="24"/>
          <w:lang w:eastAsia="hi-IN" w:bidi="hi-IN"/>
        </w:rPr>
        <w:t>v</w:t>
      </w:r>
      <w:r w:rsidRPr="002405F4">
        <w:rPr>
          <w:rFonts w:ascii="Times New Roman" w:eastAsia="SimSun" w:hAnsi="Times New Roman" w:cs="Mangal"/>
          <w:kern w:val="1"/>
          <w:sz w:val="24"/>
          <w:szCs w:val="24"/>
          <w:lang w:eastAsia="hi-IN" w:bidi="hi-IN"/>
        </w:rPr>
        <w:t xml:space="preserve"> programové</w:t>
      </w:r>
      <w:r>
        <w:rPr>
          <w:rFonts w:ascii="Times New Roman" w:eastAsia="SimSun" w:hAnsi="Times New Roman" w:cs="Mangal"/>
          <w:kern w:val="1"/>
          <w:sz w:val="24"/>
          <w:szCs w:val="24"/>
          <w:lang w:eastAsia="hi-IN" w:bidi="hi-IN"/>
        </w:rPr>
        <w:t>m</w:t>
      </w:r>
      <w:r w:rsidRPr="002405F4">
        <w:rPr>
          <w:rFonts w:ascii="Times New Roman" w:eastAsia="SimSun" w:hAnsi="Times New Roman" w:cs="Mangal"/>
          <w:kern w:val="1"/>
          <w:sz w:val="24"/>
          <w:szCs w:val="24"/>
          <w:lang w:eastAsia="hi-IN" w:bidi="hi-IN"/>
        </w:rPr>
        <w:t xml:space="preserve"> období 2014 – 2020 povinn</w:t>
      </w:r>
      <w:r>
        <w:rPr>
          <w:rFonts w:ascii="Times New Roman" w:eastAsia="SimSun" w:hAnsi="Times New Roman" w:cs="Mangal"/>
          <w:kern w:val="1"/>
          <w:sz w:val="24"/>
          <w:szCs w:val="24"/>
          <w:lang w:eastAsia="hi-IN" w:bidi="hi-IN"/>
        </w:rPr>
        <w:t>é</w:t>
      </w:r>
      <w:r w:rsidRPr="002405F4">
        <w:rPr>
          <w:rFonts w:ascii="Times New Roman" w:eastAsia="SimSun" w:hAnsi="Times New Roman" w:cs="Mangal"/>
          <w:kern w:val="1"/>
          <w:sz w:val="24"/>
          <w:szCs w:val="24"/>
          <w:lang w:eastAsia="hi-IN" w:bidi="hi-IN"/>
        </w:rPr>
        <w:t>.</w:t>
      </w: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V roce 2014 byly vesměs aktualizovány systémy řízení rizik, která však nemají jednotně nastavená kritéria.</w:t>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 xml:space="preserve">Výkon finančního řízení a kontroly v orgánech veřejné správy v odpovědnosti řídících </w:t>
      </w:r>
      <w:r w:rsidRPr="002405F4">
        <w:rPr>
          <w:rFonts w:ascii="Times New Roman" w:eastAsia="SimSun" w:hAnsi="Times New Roman" w:cs="Mangal"/>
          <w:kern w:val="1"/>
          <w:sz w:val="24"/>
          <w:szCs w:val="24"/>
          <w:lang w:eastAsia="hi-IN" w:bidi="hi-IN"/>
        </w:rPr>
        <w:br/>
        <w:t xml:space="preserve">a výkonných struktur byl ověřován prováděnými interními audity vnitřního kontrolního </w:t>
      </w:r>
      <w:r w:rsidRPr="002405F4">
        <w:rPr>
          <w:rFonts w:ascii="Times New Roman" w:eastAsia="SimSun" w:hAnsi="Times New Roman" w:cs="Mangal"/>
          <w:kern w:val="1"/>
          <w:sz w:val="24"/>
          <w:szCs w:val="24"/>
          <w:lang w:eastAsia="hi-IN" w:bidi="hi-IN"/>
        </w:rPr>
        <w:lastRenderedPageBreak/>
        <w:t xml:space="preserve">systému. </w:t>
      </w:r>
      <w:r w:rsidRPr="002405F4">
        <w:rPr>
          <w:rFonts w:ascii="Times New Roman" w:eastAsia="SimSun" w:hAnsi="Times New Roman" w:cs="Mangal"/>
          <w:kern w:val="1"/>
          <w:sz w:val="24"/>
          <w:szCs w:val="24"/>
          <w:lang w:eastAsia="hi-IN" w:bidi="hi-IN"/>
        </w:rPr>
        <w:br/>
        <w:t xml:space="preserve">V souladu s příslušnými ustanoveními zákona č. 320/2001 Sb., o finanční kontrole bylo </w:t>
      </w:r>
      <w:r w:rsidRPr="002405F4">
        <w:rPr>
          <w:rFonts w:ascii="Times New Roman" w:eastAsia="SimSun" w:hAnsi="Times New Roman" w:cs="Mangal"/>
          <w:kern w:val="1"/>
          <w:sz w:val="24"/>
          <w:szCs w:val="24"/>
          <w:lang w:eastAsia="hi-IN" w:bidi="hi-IN"/>
        </w:rPr>
        <w:br/>
        <w:t>u příspěvkových organizací zřízených orgány veřejné správy, u kterých není zavedený interní audit, provedeno ověřování funkčnosti vnitřního kontrolního systému formou veřejnosprávních kontrol.</w:t>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V rámci vykonávaných veřejnosprávních kontrol a interních auditů bylo zjišťováno porušování rozpočtové kázně podle zákona č. 218/2000 Sb., </w:t>
      </w:r>
      <w:r>
        <w:rPr>
          <w:rFonts w:ascii="Times New Roman" w:eastAsia="SimSun" w:hAnsi="Times New Roman"/>
          <w:kern w:val="1"/>
          <w:sz w:val="24"/>
          <w:szCs w:val="24"/>
          <w:lang w:eastAsia="hi-IN" w:bidi="hi-IN"/>
        </w:rPr>
        <w:t>o rozpočtových pravidlech</w:t>
      </w:r>
      <w:r w:rsidDel="006F2F8C">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a zákona č. 250/2000 Sb., o rozpočtových pravidlech územních rozpočtů. Nejčastější zjištění se týkala:</w:t>
      </w:r>
    </w:p>
    <w:p w:rsidR="00F27B03" w:rsidRDefault="00F27B03" w:rsidP="00C20038">
      <w:pPr>
        <w:pStyle w:val="Odstavecseseznamem"/>
        <w:widowControl w:val="0"/>
        <w:numPr>
          <w:ilvl w:val="0"/>
          <w:numId w:val="18"/>
        </w:numPr>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neoprávněného použití nebo zadržení peněžních prostředků poskytnutých ze státního rozpočtu, </w:t>
      </w:r>
    </w:p>
    <w:p w:rsidR="00F27B03" w:rsidRDefault="00F27B03" w:rsidP="00C20038">
      <w:pPr>
        <w:pStyle w:val="Odstavecseseznamem"/>
        <w:widowControl w:val="0"/>
        <w:numPr>
          <w:ilvl w:val="0"/>
          <w:numId w:val="18"/>
        </w:numPr>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porušování zákona č. 137/2006 Sb., o veřejných zakázkách ve znění pozdějších předpisů, </w:t>
      </w:r>
    </w:p>
    <w:p w:rsidR="00F27B03" w:rsidRDefault="00F27B03" w:rsidP="00C20038">
      <w:pPr>
        <w:pStyle w:val="Odstavecseseznamem"/>
        <w:widowControl w:val="0"/>
        <w:numPr>
          <w:ilvl w:val="0"/>
          <w:numId w:val="18"/>
        </w:numPr>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nesprávné použití poskytnutých finančních prostředků.</w:t>
      </w:r>
    </w:p>
    <w:p w:rsidR="00F27B03" w:rsidRDefault="00F27B03" w:rsidP="00742D3E">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V rámci prověřování vnitřního kontrolního systému bylo identifikováno celkem 873 porušení</w:t>
      </w:r>
      <w:r w:rsidRPr="00490A9C">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v celkovém objemu 324 mil. Kč., na jejichž základě příslušný orgán oznámil státnímu zástupci nebo policejnímu orgánu skutečnosti nasvědčující spáchání trestního činu. Oproti předchozím létům se jedná o vyšší počet podezření, oproti roku 2013 však s výrazně nižší částkou. Ve většině případů se jednalo o zjištění s nižší škodou jako např. neoprávněné čerpání dávek.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092"/>
        <w:gridCol w:w="3012"/>
      </w:tblGrid>
      <w:tr w:rsidR="00F27B03" w:rsidRPr="00702991" w:rsidTr="00702991">
        <w:trPr>
          <w:trHeight w:hRule="exact" w:val="340"/>
          <w:jc w:val="center"/>
        </w:trPr>
        <w:tc>
          <w:tcPr>
            <w:tcW w:w="2092" w:type="dxa"/>
            <w:tcBorders>
              <w:top w:val="single" w:sz="12" w:space="0" w:color="auto"/>
              <w:left w:val="single" w:sz="12" w:space="0" w:color="auto"/>
              <w:bottom w:val="single" w:sz="12" w:space="0" w:color="auto"/>
            </w:tcBorders>
            <w:vAlign w:val="bottom"/>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ROK</w:t>
            </w:r>
          </w:p>
        </w:tc>
        <w:tc>
          <w:tcPr>
            <w:tcW w:w="2092" w:type="dxa"/>
            <w:tcBorders>
              <w:top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Počet zjištění</w:t>
            </w:r>
          </w:p>
        </w:tc>
        <w:tc>
          <w:tcPr>
            <w:tcW w:w="3012" w:type="dxa"/>
            <w:tcBorders>
              <w:top w:val="single" w:sz="12" w:space="0" w:color="auto"/>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Celkový objem v Kč</w:t>
            </w:r>
          </w:p>
        </w:tc>
      </w:tr>
      <w:tr w:rsidR="00F27B03" w:rsidRPr="00702991" w:rsidTr="00702991">
        <w:trPr>
          <w:trHeight w:hRule="exact" w:val="340"/>
          <w:jc w:val="center"/>
        </w:trPr>
        <w:tc>
          <w:tcPr>
            <w:tcW w:w="2092" w:type="dxa"/>
            <w:tcBorders>
              <w:top w:val="single" w:sz="12" w:space="0" w:color="auto"/>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2010</w:t>
            </w:r>
          </w:p>
        </w:tc>
        <w:tc>
          <w:tcPr>
            <w:tcW w:w="2092" w:type="dxa"/>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435</w:t>
            </w:r>
          </w:p>
        </w:tc>
        <w:tc>
          <w:tcPr>
            <w:tcW w:w="3012" w:type="dxa"/>
            <w:tcBorders>
              <w:top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23 049 295</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2011</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443</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208 039 621</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2012</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809</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734 640 023</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2013</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822</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1 851 955 776</w:t>
            </w:r>
          </w:p>
        </w:tc>
      </w:tr>
      <w:tr w:rsidR="00F27B03" w:rsidRPr="00702991" w:rsidTr="00702991">
        <w:trPr>
          <w:trHeight w:hRule="exact" w:val="340"/>
          <w:jc w:val="center"/>
        </w:trPr>
        <w:tc>
          <w:tcPr>
            <w:tcW w:w="2092" w:type="dxa"/>
            <w:tcBorders>
              <w:left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2014</w:t>
            </w:r>
          </w:p>
        </w:tc>
        <w:tc>
          <w:tcPr>
            <w:tcW w:w="2092" w:type="dxa"/>
            <w:tcBorders>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873</w:t>
            </w:r>
          </w:p>
        </w:tc>
        <w:tc>
          <w:tcPr>
            <w:tcW w:w="3012" w:type="dxa"/>
            <w:tcBorders>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324 013 927</w:t>
            </w:r>
          </w:p>
        </w:tc>
      </w:tr>
    </w:tbl>
    <w:p w:rsidR="00F27B03" w:rsidRPr="00D873B7" w:rsidRDefault="00F27B03" w:rsidP="00742D3E">
      <w:pPr>
        <w:widowControl w:val="0"/>
        <w:tabs>
          <w:tab w:val="left" w:pos="700"/>
        </w:tabs>
        <w:suppressAutoHyphens/>
        <w:rPr>
          <w:rFonts w:ascii="Times New Roman" w:eastAsia="SimSun" w:hAnsi="Times New Roman" w:cs="Mangal"/>
          <w:kern w:val="1"/>
          <w:sz w:val="24"/>
          <w:szCs w:val="24"/>
          <w:lang w:eastAsia="hi-IN" w:bidi="hi-IN"/>
        </w:rPr>
      </w:pP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Na základě doporučení z auditů a zjištěných nedostatků z veřejnosprávních kontrol, přijaly auditované a kontrolované osoby konkrétní opatření k nápravě a odstranění těchto zjištěných nedostatků. Plnění přijatých op</w:t>
      </w:r>
      <w:r>
        <w:rPr>
          <w:rFonts w:ascii="Times New Roman" w:eastAsia="SimSun" w:hAnsi="Times New Roman" w:cs="Mangal"/>
          <w:kern w:val="1"/>
          <w:sz w:val="24"/>
          <w:szCs w:val="24"/>
          <w:lang w:eastAsia="hi-IN" w:bidi="hi-IN"/>
        </w:rPr>
        <w:t>a</w:t>
      </w:r>
      <w:r w:rsidRPr="002405F4">
        <w:rPr>
          <w:rFonts w:ascii="Times New Roman" w:eastAsia="SimSun" w:hAnsi="Times New Roman" w:cs="Mangal"/>
          <w:kern w:val="1"/>
          <w:sz w:val="24"/>
          <w:szCs w:val="24"/>
          <w:lang w:eastAsia="hi-IN" w:bidi="hi-IN"/>
        </w:rPr>
        <w:t>tření bude předměte</w:t>
      </w:r>
      <w:r>
        <w:rPr>
          <w:rFonts w:ascii="Times New Roman" w:eastAsia="SimSun" w:hAnsi="Times New Roman" w:cs="Mangal"/>
          <w:kern w:val="1"/>
          <w:sz w:val="24"/>
          <w:szCs w:val="24"/>
          <w:lang w:eastAsia="hi-IN" w:bidi="hi-IN"/>
        </w:rPr>
        <w:t>m</w:t>
      </w:r>
      <w:r w:rsidRPr="002405F4">
        <w:rPr>
          <w:rFonts w:ascii="Times New Roman" w:eastAsia="SimSun" w:hAnsi="Times New Roman" w:cs="Mangal"/>
          <w:kern w:val="1"/>
          <w:sz w:val="24"/>
          <w:szCs w:val="24"/>
          <w:lang w:eastAsia="hi-IN" w:bidi="hi-IN"/>
        </w:rPr>
        <w:t xml:space="preserve"> následných interních auditů a veřejnosprávních kontrol.</w:t>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lastRenderedPageBreak/>
        <w:tab/>
        <w:t xml:space="preserve">V souladu s usnesením vlády České republiky č. </w:t>
      </w:r>
      <w:r>
        <w:rPr>
          <w:rFonts w:ascii="Times New Roman" w:eastAsia="SimSun" w:hAnsi="Times New Roman" w:cs="Mangal"/>
          <w:kern w:val="1"/>
          <w:sz w:val="24"/>
          <w:szCs w:val="24"/>
          <w:lang w:eastAsia="hi-IN" w:bidi="hi-IN"/>
        </w:rPr>
        <w:t>445</w:t>
      </w:r>
      <w:r w:rsidRPr="002405F4">
        <w:rPr>
          <w:rFonts w:ascii="Times New Roman" w:eastAsia="SimSun" w:hAnsi="Times New Roman" w:cs="Mangal"/>
          <w:kern w:val="1"/>
          <w:sz w:val="24"/>
          <w:szCs w:val="24"/>
          <w:lang w:eastAsia="hi-IN" w:bidi="hi-IN"/>
        </w:rPr>
        <w:t xml:space="preserve">/2014 byly interní audity </w:t>
      </w:r>
      <w:r>
        <w:rPr>
          <w:rFonts w:ascii="Times New Roman" w:eastAsia="SimSun" w:hAnsi="Times New Roman" w:cs="Mangal"/>
          <w:kern w:val="1"/>
          <w:sz w:val="24"/>
          <w:szCs w:val="24"/>
          <w:lang w:eastAsia="hi-IN" w:bidi="hi-IN"/>
        </w:rPr>
        <w:br/>
      </w:r>
      <w:r w:rsidRPr="002405F4">
        <w:rPr>
          <w:rFonts w:ascii="Times New Roman" w:eastAsia="SimSun" w:hAnsi="Times New Roman" w:cs="Mangal"/>
          <w:kern w:val="1"/>
          <w:sz w:val="24"/>
          <w:szCs w:val="24"/>
          <w:lang w:eastAsia="hi-IN" w:bidi="hi-IN"/>
        </w:rPr>
        <w:t xml:space="preserve">a veřejnosprávní kontroly více zaměřeny na odhalování nedostatků při dodržování zákona </w:t>
      </w:r>
      <w:r>
        <w:rPr>
          <w:rFonts w:ascii="Times New Roman" w:eastAsia="SimSun" w:hAnsi="Times New Roman" w:cs="Mangal"/>
          <w:kern w:val="1"/>
          <w:sz w:val="24"/>
          <w:szCs w:val="24"/>
          <w:lang w:eastAsia="hi-IN" w:bidi="hi-IN"/>
        </w:rPr>
        <w:br/>
      </w:r>
      <w:r w:rsidRPr="002405F4">
        <w:rPr>
          <w:rFonts w:ascii="Times New Roman" w:eastAsia="SimSun" w:hAnsi="Times New Roman" w:cs="Mangal"/>
          <w:kern w:val="1"/>
          <w:sz w:val="24"/>
          <w:szCs w:val="24"/>
          <w:lang w:eastAsia="hi-IN" w:bidi="hi-IN"/>
        </w:rPr>
        <w:t xml:space="preserve">č. 137/2006 Sb., o veřejných zakázkách a na porušování zákona č. 218/2000 Sb., </w:t>
      </w:r>
      <w:r>
        <w:rPr>
          <w:rFonts w:ascii="Times New Roman" w:eastAsia="SimSun" w:hAnsi="Times New Roman"/>
          <w:kern w:val="1"/>
          <w:sz w:val="24"/>
          <w:szCs w:val="24"/>
          <w:lang w:eastAsia="hi-IN" w:bidi="hi-IN"/>
        </w:rPr>
        <w:t>o rozpočtových pravidlech</w:t>
      </w:r>
      <w:r w:rsidRPr="002405F4">
        <w:rPr>
          <w:rFonts w:ascii="Times New Roman" w:eastAsia="SimSun" w:hAnsi="Times New Roman" w:cs="Mangal"/>
          <w:kern w:val="1"/>
          <w:sz w:val="24"/>
          <w:szCs w:val="24"/>
          <w:lang w:eastAsia="hi-IN" w:bidi="hi-IN"/>
        </w:rPr>
        <w:t>.</w:t>
      </w: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Nedostatky zjištěné provedenými interními audity a veřejnosprávními kontrolami dle výsledků uvedených ve zprávách orgánů veřejné správy nebyly takového charakteru, aby zásadním způsobem ovlivnily výkon finančního řízení a fu</w:t>
      </w:r>
      <w:r>
        <w:rPr>
          <w:rFonts w:ascii="Times New Roman" w:eastAsia="SimSun" w:hAnsi="Times New Roman" w:cs="Mangal"/>
          <w:kern w:val="1"/>
          <w:sz w:val="24"/>
          <w:szCs w:val="24"/>
          <w:lang w:eastAsia="hi-IN" w:bidi="hi-IN"/>
        </w:rPr>
        <w:t>n</w:t>
      </w:r>
      <w:r w:rsidRPr="002405F4">
        <w:rPr>
          <w:rFonts w:ascii="Times New Roman" w:eastAsia="SimSun" w:hAnsi="Times New Roman" w:cs="Mangal"/>
          <w:kern w:val="1"/>
          <w:sz w:val="24"/>
          <w:szCs w:val="24"/>
          <w:lang w:eastAsia="hi-IN" w:bidi="hi-IN"/>
        </w:rPr>
        <w:t>kčnost nastaveného vn</w:t>
      </w:r>
      <w:r>
        <w:rPr>
          <w:rFonts w:ascii="Times New Roman" w:eastAsia="SimSun" w:hAnsi="Times New Roman" w:cs="Mangal"/>
          <w:kern w:val="1"/>
          <w:sz w:val="24"/>
          <w:szCs w:val="24"/>
          <w:lang w:eastAsia="hi-IN" w:bidi="hi-IN"/>
        </w:rPr>
        <w:t>i</w:t>
      </w:r>
      <w:r w:rsidRPr="002405F4">
        <w:rPr>
          <w:rFonts w:ascii="Times New Roman" w:eastAsia="SimSun" w:hAnsi="Times New Roman" w:cs="Mangal"/>
          <w:kern w:val="1"/>
          <w:sz w:val="24"/>
          <w:szCs w:val="24"/>
          <w:lang w:eastAsia="hi-IN" w:bidi="hi-IN"/>
        </w:rPr>
        <w:t>tř</w:t>
      </w:r>
      <w:r>
        <w:rPr>
          <w:rFonts w:ascii="Times New Roman" w:eastAsia="SimSun" w:hAnsi="Times New Roman" w:cs="Mangal"/>
          <w:kern w:val="1"/>
          <w:sz w:val="24"/>
          <w:szCs w:val="24"/>
          <w:lang w:eastAsia="hi-IN" w:bidi="hi-IN"/>
        </w:rPr>
        <w:t>n</w:t>
      </w:r>
      <w:r w:rsidRPr="002405F4">
        <w:rPr>
          <w:rFonts w:ascii="Times New Roman" w:eastAsia="SimSun" w:hAnsi="Times New Roman" w:cs="Mangal"/>
          <w:kern w:val="1"/>
          <w:sz w:val="24"/>
          <w:szCs w:val="24"/>
          <w:lang w:eastAsia="hi-IN" w:bidi="hi-IN"/>
        </w:rPr>
        <w:t>ího kontrolního systému.</w:t>
      </w:r>
      <w:r>
        <w:rPr>
          <w:rFonts w:ascii="Times New Roman" w:eastAsia="SimSun" w:hAnsi="Times New Roman" w:cs="Mangal"/>
          <w:kern w:val="1"/>
          <w:sz w:val="24"/>
          <w:szCs w:val="24"/>
          <w:lang w:eastAsia="hi-IN" w:bidi="hi-IN"/>
        </w:rPr>
        <w:t xml:space="preserve"> Nebyly zaznamenány pokusy kontrolovaných osob o ovlivnění průběhu kontroly nebo interního auditu.</w:t>
      </w:r>
    </w:p>
    <w:p w:rsidR="00F27B03" w:rsidRPr="002405F4" w:rsidRDefault="00F27B03" w:rsidP="008D6625">
      <w:pPr>
        <w:widowControl w:val="0"/>
        <w:tabs>
          <w:tab w:val="left" w:pos="700"/>
        </w:tabs>
        <w:suppressAutoHyphens/>
        <w:rPr>
          <w:rFonts w:ascii="Times New Roman" w:eastAsia="SimSun" w:hAnsi="Times New Roman" w:cs="Mangal"/>
          <w:kern w:val="1"/>
          <w:sz w:val="24"/>
          <w:szCs w:val="24"/>
          <w:lang w:eastAsia="hi-IN" w:bidi="hi-IN"/>
        </w:rPr>
      </w:pPr>
    </w:p>
    <w:p w:rsidR="00F27B03" w:rsidRPr="001F0BC3" w:rsidRDefault="00F27B03" w:rsidP="00C20038">
      <w:pPr>
        <w:widowControl w:val="0"/>
        <w:numPr>
          <w:ilvl w:val="0"/>
          <w:numId w:val="3"/>
        </w:numPr>
        <w:tabs>
          <w:tab w:val="clear" w:pos="720"/>
          <w:tab w:val="left" w:pos="700"/>
        </w:tabs>
        <w:suppressAutoHyphens/>
        <w:ind w:left="714" w:hanging="714"/>
        <w:rPr>
          <w:rFonts w:ascii="Times New Roman" w:eastAsia="SimSun" w:hAnsi="Times New Roman" w:cs="Mangal"/>
          <w:kern w:val="1"/>
          <w:sz w:val="28"/>
          <w:szCs w:val="28"/>
          <w:lang w:eastAsia="hi-IN" w:bidi="hi-IN"/>
        </w:rPr>
      </w:pPr>
      <w:r w:rsidRPr="001F0BC3">
        <w:rPr>
          <w:rFonts w:ascii="Times New Roman" w:eastAsia="SimSun" w:hAnsi="Times New Roman" w:cs="Mangal"/>
          <w:b/>
          <w:bCs/>
          <w:kern w:val="1"/>
          <w:sz w:val="28"/>
          <w:szCs w:val="28"/>
          <w:lang w:eastAsia="hi-IN" w:bidi="hi-IN"/>
        </w:rPr>
        <w:t>Veřejnosprávní kontroly hospodaření s veřejnými prostředky České republiky</w:t>
      </w: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 xml:space="preserve">Veřejnosprávní kontroly byly v roce 2014 zaměřeny na hospodaření s finančními prostředky a majetkem, na nastavený vnitřní kontrolní systém, v souladu s usnesením vlády České republiky č. </w:t>
      </w:r>
      <w:r>
        <w:rPr>
          <w:rFonts w:ascii="Times New Roman" w:eastAsia="SimSun" w:hAnsi="Times New Roman" w:cs="Mangal"/>
          <w:kern w:val="1"/>
          <w:sz w:val="24"/>
          <w:szCs w:val="24"/>
          <w:lang w:eastAsia="hi-IN" w:bidi="hi-IN"/>
        </w:rPr>
        <w:t>445</w:t>
      </w:r>
      <w:r w:rsidRPr="002405F4">
        <w:rPr>
          <w:rFonts w:ascii="Times New Roman" w:eastAsia="SimSun" w:hAnsi="Times New Roman" w:cs="Mangal"/>
          <w:kern w:val="1"/>
          <w:sz w:val="24"/>
          <w:szCs w:val="24"/>
          <w:lang w:eastAsia="hi-IN" w:bidi="hi-IN"/>
        </w:rPr>
        <w:t xml:space="preserve">/2014 na dodržování zákona č. 137/2006 Sb., o veřejných zakázkách, na dodržování zákona č. 563/1991 Sb., o účetnictví a na dodržování rozpočtových pravidel, tj. </w:t>
      </w:r>
      <w:r>
        <w:rPr>
          <w:rFonts w:ascii="Times New Roman" w:eastAsia="SimSun" w:hAnsi="Times New Roman" w:cs="Mangal"/>
          <w:kern w:val="1"/>
          <w:sz w:val="24"/>
          <w:szCs w:val="24"/>
          <w:lang w:eastAsia="hi-IN" w:bidi="hi-IN"/>
        </w:rPr>
        <w:t>z</w:t>
      </w:r>
      <w:r w:rsidRPr="002405F4">
        <w:rPr>
          <w:rFonts w:ascii="Times New Roman" w:eastAsia="SimSun" w:hAnsi="Times New Roman" w:cs="Mangal"/>
          <w:kern w:val="1"/>
          <w:sz w:val="24"/>
          <w:szCs w:val="24"/>
          <w:lang w:eastAsia="hi-IN" w:bidi="hi-IN"/>
        </w:rPr>
        <w:t xml:space="preserve">ákona č. 218/2000 Sb., </w:t>
      </w:r>
      <w:r>
        <w:rPr>
          <w:rFonts w:ascii="Times New Roman" w:eastAsia="SimSun" w:hAnsi="Times New Roman"/>
          <w:kern w:val="1"/>
          <w:sz w:val="24"/>
          <w:szCs w:val="24"/>
          <w:lang w:eastAsia="hi-IN" w:bidi="hi-IN"/>
        </w:rPr>
        <w:t>o rozpočtových pravidlech</w:t>
      </w:r>
      <w:r w:rsidRPr="002405F4">
        <w:rPr>
          <w:rFonts w:ascii="Times New Roman" w:eastAsia="SimSun" w:hAnsi="Times New Roman" w:cs="Mangal"/>
          <w:kern w:val="1"/>
          <w:sz w:val="24"/>
          <w:szCs w:val="24"/>
          <w:lang w:eastAsia="hi-IN" w:bidi="hi-IN"/>
        </w:rPr>
        <w:t xml:space="preserve"> a zákona č. 250/2000 Sb., o rozpočtových pravidlech územních rozpočtů. </w:t>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sidRPr="002405F4">
        <w:rPr>
          <w:rFonts w:ascii="Times New Roman" w:eastAsia="SimSun" w:hAnsi="Times New Roman" w:cs="Mangal"/>
          <w:kern w:val="1"/>
          <w:sz w:val="24"/>
          <w:szCs w:val="24"/>
          <w:lang w:eastAsia="hi-IN" w:bidi="hi-IN"/>
        </w:rPr>
        <w:tab/>
        <w:t>V rámci veřejnosprávních kontrol hospodaření s veřejnými příjmy a výdaji bylo zkontrolováno celkem</w:t>
      </w:r>
      <w:r>
        <w:rPr>
          <w:rFonts w:ascii="Times New Roman" w:eastAsia="SimSun" w:hAnsi="Times New Roman" w:cs="Mangal"/>
          <w:kern w:val="1"/>
          <w:sz w:val="24"/>
          <w:szCs w:val="24"/>
          <w:lang w:eastAsia="hi-IN" w:bidi="hi-IN"/>
        </w:rPr>
        <w:t xml:space="preserve"> 183.582 mil. Kč </w:t>
      </w:r>
      <w:r w:rsidRPr="002405F4">
        <w:rPr>
          <w:rFonts w:ascii="Times New Roman" w:eastAsia="SimSun" w:hAnsi="Times New Roman" w:cs="Mangal"/>
          <w:kern w:val="1"/>
          <w:sz w:val="24"/>
          <w:szCs w:val="24"/>
          <w:lang w:eastAsia="hi-IN" w:bidi="hi-IN"/>
        </w:rPr>
        <w:t>veřejných příjmů</w:t>
      </w:r>
      <w:r>
        <w:rPr>
          <w:rFonts w:ascii="Times New Roman" w:eastAsia="SimSun" w:hAnsi="Times New Roman" w:cs="Mangal"/>
          <w:kern w:val="1"/>
          <w:sz w:val="24"/>
          <w:szCs w:val="24"/>
          <w:lang w:eastAsia="hi-IN" w:bidi="hi-IN"/>
        </w:rPr>
        <w:t xml:space="preserve"> z celkového objemu 463.038 mil. Kč</w:t>
      </w:r>
      <w:r w:rsidRPr="002405F4">
        <w:rPr>
          <w:rFonts w:ascii="Times New Roman" w:eastAsia="SimSun" w:hAnsi="Times New Roman" w:cs="Mangal"/>
          <w:kern w:val="1"/>
          <w:sz w:val="24"/>
          <w:szCs w:val="24"/>
          <w:lang w:eastAsia="hi-IN" w:bidi="hi-IN"/>
        </w:rPr>
        <w:t xml:space="preserve">, což činí </w:t>
      </w:r>
      <w:r>
        <w:rPr>
          <w:rFonts w:ascii="Times New Roman" w:eastAsia="SimSun" w:hAnsi="Times New Roman" w:cs="Mangal"/>
          <w:kern w:val="1"/>
          <w:sz w:val="24"/>
          <w:szCs w:val="24"/>
          <w:lang w:eastAsia="hi-IN" w:bidi="hi-IN"/>
        </w:rPr>
        <w:t xml:space="preserve">39,65 </w:t>
      </w:r>
      <w:r w:rsidRPr="002405F4">
        <w:rPr>
          <w:rFonts w:ascii="Times New Roman" w:eastAsia="SimSun" w:hAnsi="Times New Roman" w:cs="Mangal"/>
          <w:kern w:val="1"/>
          <w:sz w:val="24"/>
          <w:szCs w:val="24"/>
          <w:lang w:eastAsia="hi-IN" w:bidi="hi-IN"/>
        </w:rPr>
        <w:t>% z celkového objemu veřejných příjmů</w:t>
      </w:r>
      <w:r>
        <w:rPr>
          <w:rFonts w:ascii="Times New Roman" w:eastAsia="SimSun" w:hAnsi="Times New Roman" w:cs="Mangal"/>
          <w:kern w:val="1"/>
          <w:sz w:val="24"/>
          <w:szCs w:val="24"/>
          <w:lang w:eastAsia="hi-IN" w:bidi="hi-IN"/>
        </w:rPr>
        <w:t xml:space="preserve"> kontrolovaných subjektů</w:t>
      </w:r>
      <w:r w:rsidRPr="002405F4">
        <w:rPr>
          <w:rFonts w:ascii="Times New Roman" w:eastAsia="SimSun" w:hAnsi="Times New Roman" w:cs="Mangal"/>
          <w:kern w:val="1"/>
          <w:sz w:val="24"/>
          <w:szCs w:val="24"/>
          <w:lang w:eastAsia="hi-IN" w:bidi="hi-IN"/>
        </w:rPr>
        <w:t xml:space="preserve"> a</w:t>
      </w:r>
      <w:r>
        <w:rPr>
          <w:rFonts w:ascii="Times New Roman" w:eastAsia="SimSun" w:hAnsi="Times New Roman" w:cs="Mangal"/>
          <w:kern w:val="1"/>
          <w:sz w:val="24"/>
          <w:szCs w:val="24"/>
          <w:lang w:eastAsia="hi-IN" w:bidi="hi-IN"/>
        </w:rPr>
        <w:t> 240.094 mil. Kč</w:t>
      </w:r>
      <w:r w:rsidRPr="002405F4">
        <w:rPr>
          <w:rFonts w:ascii="Times New Roman" w:eastAsia="SimSun" w:hAnsi="Times New Roman" w:cs="Mangal"/>
          <w:kern w:val="1"/>
          <w:sz w:val="24"/>
          <w:szCs w:val="24"/>
          <w:lang w:eastAsia="hi-IN" w:bidi="hi-IN"/>
        </w:rPr>
        <w:t xml:space="preserve"> veřejných výdajů</w:t>
      </w:r>
      <w:r>
        <w:rPr>
          <w:rFonts w:ascii="Times New Roman" w:eastAsia="SimSun" w:hAnsi="Times New Roman" w:cs="Mangal"/>
          <w:kern w:val="1"/>
          <w:sz w:val="24"/>
          <w:szCs w:val="24"/>
          <w:lang w:eastAsia="hi-IN" w:bidi="hi-IN"/>
        </w:rPr>
        <w:t xml:space="preserve"> z celkového objemu 597.607 mil. Kč</w:t>
      </w:r>
      <w:r w:rsidRPr="002405F4">
        <w:rPr>
          <w:rFonts w:ascii="Times New Roman" w:eastAsia="SimSun" w:hAnsi="Times New Roman" w:cs="Mangal"/>
          <w:kern w:val="1"/>
          <w:sz w:val="24"/>
          <w:szCs w:val="24"/>
          <w:lang w:eastAsia="hi-IN" w:bidi="hi-IN"/>
        </w:rPr>
        <w:t xml:space="preserve">, tj. </w:t>
      </w:r>
      <w:r>
        <w:rPr>
          <w:rFonts w:ascii="Times New Roman" w:eastAsia="SimSun" w:hAnsi="Times New Roman" w:cs="Mangal"/>
          <w:kern w:val="1"/>
          <w:sz w:val="24"/>
          <w:szCs w:val="24"/>
          <w:lang w:eastAsia="hi-IN" w:bidi="hi-IN"/>
        </w:rPr>
        <w:t>40,18</w:t>
      </w:r>
      <w:r w:rsidRPr="002405F4">
        <w:rPr>
          <w:rFonts w:ascii="Times New Roman" w:eastAsia="SimSun" w:hAnsi="Times New Roman" w:cs="Mangal"/>
          <w:kern w:val="1"/>
          <w:sz w:val="24"/>
          <w:szCs w:val="24"/>
          <w:lang w:eastAsia="hi-IN" w:bidi="hi-IN"/>
        </w:rPr>
        <w:t xml:space="preserve"> % z</w:t>
      </w:r>
      <w:r>
        <w:rPr>
          <w:rFonts w:ascii="Times New Roman" w:eastAsia="SimSun" w:hAnsi="Times New Roman" w:cs="Mangal"/>
          <w:kern w:val="1"/>
          <w:sz w:val="24"/>
          <w:szCs w:val="24"/>
          <w:lang w:eastAsia="hi-IN" w:bidi="hi-IN"/>
        </w:rPr>
        <w:t> </w:t>
      </w:r>
      <w:r w:rsidRPr="002405F4">
        <w:rPr>
          <w:rFonts w:ascii="Times New Roman" w:eastAsia="SimSun" w:hAnsi="Times New Roman" w:cs="Mangal"/>
          <w:kern w:val="1"/>
          <w:sz w:val="24"/>
          <w:szCs w:val="24"/>
          <w:lang w:eastAsia="hi-IN" w:bidi="hi-IN"/>
        </w:rPr>
        <w:t>celkového objemu veřejných výdajů</w:t>
      </w:r>
      <w:r>
        <w:rPr>
          <w:rFonts w:ascii="Times New Roman" w:eastAsia="SimSun" w:hAnsi="Times New Roman" w:cs="Mangal"/>
          <w:kern w:val="1"/>
          <w:sz w:val="24"/>
          <w:szCs w:val="24"/>
          <w:lang w:eastAsia="hi-IN" w:bidi="hi-IN"/>
        </w:rPr>
        <w:t xml:space="preserve"> kontrolovaných subjektů</w:t>
      </w:r>
      <w:r w:rsidRPr="002405F4">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 xml:space="preserve"> </w:t>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Zkontrolovaný objem veřejných příjmů i výdajů oproti předchozím létům roste, u příjmu vzrostl oproti roku 2013 o cca 6,4 % a u veřejných výdajů dokonce o cca 17 %. Výrazně vzrostl i počet ukončených řízení o odnětí dotace, a to zhruba o 80 % oproti roku 2013.</w:t>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p>
    <w:tbl>
      <w:tblPr>
        <w:tblpPr w:leftFromText="141" w:rightFromText="141" w:vertAnchor="text" w:horzAnchor="margin" w:tblpX="-494" w:tblpY="9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817"/>
        <w:gridCol w:w="1276"/>
        <w:gridCol w:w="1572"/>
        <w:gridCol w:w="838"/>
        <w:gridCol w:w="1134"/>
        <w:gridCol w:w="1701"/>
        <w:gridCol w:w="850"/>
        <w:gridCol w:w="992"/>
        <w:gridCol w:w="1276"/>
      </w:tblGrid>
      <w:tr w:rsidR="00F27B03" w:rsidRPr="00702991" w:rsidTr="00702991">
        <w:trPr>
          <w:trHeight w:val="519"/>
        </w:trPr>
        <w:tc>
          <w:tcPr>
            <w:tcW w:w="817" w:type="dxa"/>
            <w:vMerge w:val="restart"/>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lastRenderedPageBreak/>
              <w:t>Rok</w:t>
            </w:r>
          </w:p>
        </w:tc>
        <w:tc>
          <w:tcPr>
            <w:tcW w:w="3686" w:type="dxa"/>
            <w:gridSpan w:val="3"/>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Příjmy v mil. Kč</w:t>
            </w:r>
          </w:p>
        </w:tc>
        <w:tc>
          <w:tcPr>
            <w:tcW w:w="3685" w:type="dxa"/>
            <w:gridSpan w:val="3"/>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Výdaje v mil. Kč</w:t>
            </w:r>
          </w:p>
        </w:tc>
        <w:tc>
          <w:tcPr>
            <w:tcW w:w="2268" w:type="dxa"/>
            <w:gridSpan w:val="2"/>
            <w:tcBorders>
              <w:top w:val="single" w:sz="12" w:space="0" w:color="auto"/>
            </w:tcBorders>
            <w:vAlign w:val="center"/>
          </w:tcPr>
          <w:p w:rsidR="00F27B03" w:rsidRPr="00702991" w:rsidRDefault="00F27B03" w:rsidP="00702991">
            <w:pPr>
              <w:widowControl w:val="0"/>
              <w:tabs>
                <w:tab w:val="left" w:pos="700"/>
              </w:tabs>
              <w:suppressAutoHyphens/>
              <w:spacing w:line="240" w:lineRule="auto"/>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Ukončená řízení o odnětí dotace  </w:t>
            </w:r>
          </w:p>
        </w:tc>
      </w:tr>
      <w:tr w:rsidR="00F27B03" w:rsidRPr="00702991" w:rsidTr="00702991">
        <w:trPr>
          <w:trHeight w:hRule="exact" w:val="412"/>
        </w:trPr>
        <w:tc>
          <w:tcPr>
            <w:tcW w:w="817" w:type="dxa"/>
            <w:vMerge/>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p>
        </w:tc>
        <w:tc>
          <w:tcPr>
            <w:tcW w:w="1276"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celkem</w:t>
            </w:r>
          </w:p>
        </w:tc>
        <w:tc>
          <w:tcPr>
            <w:tcW w:w="157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kontrolované</w:t>
            </w:r>
          </w:p>
        </w:tc>
        <w:tc>
          <w:tcPr>
            <w:tcW w:w="838"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w:t>
            </w:r>
          </w:p>
        </w:tc>
        <w:tc>
          <w:tcPr>
            <w:tcW w:w="1134"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celkem</w:t>
            </w:r>
          </w:p>
        </w:tc>
        <w:tc>
          <w:tcPr>
            <w:tcW w:w="1701"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kontrolované</w:t>
            </w:r>
          </w:p>
        </w:tc>
        <w:tc>
          <w:tcPr>
            <w:tcW w:w="850"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w:t>
            </w:r>
          </w:p>
        </w:tc>
        <w:tc>
          <w:tcPr>
            <w:tcW w:w="9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počet</w:t>
            </w:r>
          </w:p>
        </w:tc>
        <w:tc>
          <w:tcPr>
            <w:tcW w:w="1276"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tis. Kč</w:t>
            </w:r>
          </w:p>
        </w:tc>
      </w:tr>
      <w:tr w:rsidR="00F27B03" w:rsidRPr="00702991" w:rsidTr="00702991">
        <w:trPr>
          <w:trHeight w:hRule="exact" w:val="364"/>
        </w:trPr>
        <w:tc>
          <w:tcPr>
            <w:tcW w:w="817"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2010</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220 298</w:t>
            </w:r>
          </w:p>
        </w:tc>
        <w:tc>
          <w:tcPr>
            <w:tcW w:w="157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82 291</w:t>
            </w:r>
          </w:p>
        </w:tc>
        <w:tc>
          <w:tcPr>
            <w:tcW w:w="838"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37,35</w:t>
            </w:r>
          </w:p>
        </w:tc>
        <w:tc>
          <w:tcPr>
            <w:tcW w:w="1134"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655 041</w:t>
            </w:r>
          </w:p>
        </w:tc>
        <w:tc>
          <w:tcPr>
            <w:tcW w:w="1701"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159 139</w:t>
            </w:r>
          </w:p>
        </w:tc>
        <w:tc>
          <w:tcPr>
            <w:tcW w:w="850"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24,29</w:t>
            </w:r>
          </w:p>
        </w:tc>
        <w:tc>
          <w:tcPr>
            <w:tcW w:w="99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102723</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100 786</w:t>
            </w:r>
          </w:p>
        </w:tc>
      </w:tr>
      <w:tr w:rsidR="00F27B03" w:rsidRPr="00702991" w:rsidTr="00702991">
        <w:trPr>
          <w:trHeight w:hRule="exact" w:val="364"/>
        </w:trPr>
        <w:tc>
          <w:tcPr>
            <w:tcW w:w="817"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2011</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248 534</w:t>
            </w:r>
          </w:p>
        </w:tc>
        <w:tc>
          <w:tcPr>
            <w:tcW w:w="157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74 148</w:t>
            </w:r>
          </w:p>
        </w:tc>
        <w:tc>
          <w:tcPr>
            <w:tcW w:w="838"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29,83</w:t>
            </w:r>
          </w:p>
        </w:tc>
        <w:tc>
          <w:tcPr>
            <w:tcW w:w="1134"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423 340</w:t>
            </w:r>
          </w:p>
        </w:tc>
        <w:tc>
          <w:tcPr>
            <w:tcW w:w="1701"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135 536</w:t>
            </w:r>
          </w:p>
        </w:tc>
        <w:tc>
          <w:tcPr>
            <w:tcW w:w="850"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32,02</w:t>
            </w:r>
          </w:p>
        </w:tc>
        <w:tc>
          <w:tcPr>
            <w:tcW w:w="99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49792</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7 546</w:t>
            </w:r>
          </w:p>
        </w:tc>
      </w:tr>
      <w:tr w:rsidR="00F27B03" w:rsidRPr="00702991" w:rsidTr="00702991">
        <w:trPr>
          <w:trHeight w:hRule="exact" w:val="364"/>
        </w:trPr>
        <w:tc>
          <w:tcPr>
            <w:tcW w:w="817"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2012</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229 476</w:t>
            </w:r>
          </w:p>
        </w:tc>
        <w:tc>
          <w:tcPr>
            <w:tcW w:w="157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79 981</w:t>
            </w:r>
          </w:p>
        </w:tc>
        <w:tc>
          <w:tcPr>
            <w:tcW w:w="838"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34,85</w:t>
            </w:r>
          </w:p>
        </w:tc>
        <w:tc>
          <w:tcPr>
            <w:tcW w:w="1134"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407 116</w:t>
            </w:r>
          </w:p>
        </w:tc>
        <w:tc>
          <w:tcPr>
            <w:tcW w:w="1701"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121 790</w:t>
            </w:r>
          </w:p>
        </w:tc>
        <w:tc>
          <w:tcPr>
            <w:tcW w:w="850"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29,92</w:t>
            </w:r>
          </w:p>
        </w:tc>
        <w:tc>
          <w:tcPr>
            <w:tcW w:w="99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52038</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59 661</w:t>
            </w:r>
          </w:p>
        </w:tc>
      </w:tr>
      <w:tr w:rsidR="00F27B03" w:rsidRPr="00702991" w:rsidTr="00702991">
        <w:trPr>
          <w:trHeight w:hRule="exact" w:val="364"/>
        </w:trPr>
        <w:tc>
          <w:tcPr>
            <w:tcW w:w="817"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2013</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253 967</w:t>
            </w:r>
          </w:p>
        </w:tc>
        <w:tc>
          <w:tcPr>
            <w:tcW w:w="157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84 461</w:t>
            </w:r>
          </w:p>
        </w:tc>
        <w:tc>
          <w:tcPr>
            <w:tcW w:w="838"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33,26</w:t>
            </w:r>
          </w:p>
        </w:tc>
        <w:tc>
          <w:tcPr>
            <w:tcW w:w="1134"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512 173</w:t>
            </w:r>
          </w:p>
        </w:tc>
        <w:tc>
          <w:tcPr>
            <w:tcW w:w="1701"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118 089</w:t>
            </w:r>
          </w:p>
        </w:tc>
        <w:tc>
          <w:tcPr>
            <w:tcW w:w="850" w:type="dxa"/>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23,06</w:t>
            </w:r>
          </w:p>
        </w:tc>
        <w:tc>
          <w:tcPr>
            <w:tcW w:w="992"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79678</w:t>
            </w:r>
          </w:p>
        </w:tc>
        <w:tc>
          <w:tcPr>
            <w:tcW w:w="1276" w:type="dxa"/>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28030</w:t>
            </w:r>
          </w:p>
        </w:tc>
      </w:tr>
      <w:tr w:rsidR="00F27B03" w:rsidRPr="00702991" w:rsidTr="00702991">
        <w:trPr>
          <w:trHeight w:hRule="exact" w:val="364"/>
        </w:trPr>
        <w:tc>
          <w:tcPr>
            <w:tcW w:w="817" w:type="dxa"/>
            <w:tcBorders>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2014</w:t>
            </w:r>
          </w:p>
        </w:tc>
        <w:tc>
          <w:tcPr>
            <w:tcW w:w="1276" w:type="dxa"/>
            <w:tcBorders>
              <w:bottom w:val="single" w:sz="12" w:space="0" w:color="auto"/>
            </w:tcBorders>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463 038</w:t>
            </w:r>
          </w:p>
        </w:tc>
        <w:tc>
          <w:tcPr>
            <w:tcW w:w="1572" w:type="dxa"/>
            <w:tcBorders>
              <w:bottom w:val="single" w:sz="12" w:space="0" w:color="auto"/>
            </w:tcBorders>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183 582</w:t>
            </w:r>
          </w:p>
        </w:tc>
        <w:tc>
          <w:tcPr>
            <w:tcW w:w="838" w:type="dxa"/>
            <w:tcBorders>
              <w:bottom w:val="single" w:sz="12" w:space="0" w:color="auto"/>
            </w:tcBorders>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39,65</w:t>
            </w:r>
          </w:p>
        </w:tc>
        <w:tc>
          <w:tcPr>
            <w:tcW w:w="1134" w:type="dxa"/>
            <w:tcBorders>
              <w:bottom w:val="single" w:sz="12" w:space="0" w:color="auto"/>
            </w:tcBorders>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597 607</w:t>
            </w:r>
          </w:p>
        </w:tc>
        <w:tc>
          <w:tcPr>
            <w:tcW w:w="1701" w:type="dxa"/>
            <w:tcBorders>
              <w:bottom w:val="single" w:sz="12" w:space="0" w:color="auto"/>
            </w:tcBorders>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240 094</w:t>
            </w:r>
          </w:p>
        </w:tc>
        <w:tc>
          <w:tcPr>
            <w:tcW w:w="850" w:type="dxa"/>
            <w:tcBorders>
              <w:bottom w:val="single" w:sz="12" w:space="0" w:color="auto"/>
            </w:tcBorders>
            <w:vAlign w:val="center"/>
          </w:tcPr>
          <w:p w:rsidR="00F27B03" w:rsidRPr="00702991" w:rsidRDefault="00F27B03" w:rsidP="00702991">
            <w:pPr>
              <w:widowControl w:val="0"/>
              <w:tabs>
                <w:tab w:val="left" w:pos="700"/>
              </w:tabs>
              <w:suppressAutoHyphens/>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40,18</w:t>
            </w:r>
          </w:p>
        </w:tc>
        <w:tc>
          <w:tcPr>
            <w:tcW w:w="992" w:type="dxa"/>
            <w:tcBorders>
              <w:bottom w:val="single" w:sz="12" w:space="0" w:color="auto"/>
            </w:tcBorders>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143343</w:t>
            </w:r>
          </w:p>
        </w:tc>
        <w:tc>
          <w:tcPr>
            <w:tcW w:w="1276" w:type="dxa"/>
            <w:tcBorders>
              <w:bottom w:val="single" w:sz="12" w:space="0" w:color="auto"/>
            </w:tcBorders>
            <w:vAlign w:val="center"/>
          </w:tcPr>
          <w:p w:rsidR="00F27B03" w:rsidRPr="00702991" w:rsidRDefault="00F27B03" w:rsidP="00702991">
            <w:pPr>
              <w:widowControl w:val="0"/>
              <w:tabs>
                <w:tab w:val="left" w:pos="700"/>
              </w:tabs>
              <w:suppressAutoHyphens/>
              <w:jc w:val="right"/>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453 125</w:t>
            </w:r>
          </w:p>
        </w:tc>
      </w:tr>
    </w:tbl>
    <w:p w:rsidR="00F27B03" w:rsidRDefault="00F27B03"/>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Většina ukončených řízení se týkala orgánů a organizací územní samosprávy, celkem 143 324 případů s objemem 453 110 tis. Kč.</w:t>
      </w:r>
    </w:p>
    <w:p w:rsidR="00F27B03" w:rsidRPr="002405F4"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Na základě veřejnosprávních kontrol bylo státnímu zástupci nebo policii podáno oznámení o skutečnostech nasvědčujících spáchání trestného činu ve 30 případech s celkovým objemem 99.825.401 Kč. Oproti roku 2013 se jedná o stejný počet, avšak objem škody je vyšší o cca 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092"/>
        <w:gridCol w:w="3012"/>
      </w:tblGrid>
      <w:tr w:rsidR="00F27B03" w:rsidRPr="00702991" w:rsidTr="00702991">
        <w:trPr>
          <w:trHeight w:hRule="exact" w:val="340"/>
          <w:jc w:val="center"/>
        </w:trPr>
        <w:tc>
          <w:tcPr>
            <w:tcW w:w="2092" w:type="dxa"/>
            <w:tcBorders>
              <w:top w:val="single" w:sz="12" w:space="0" w:color="auto"/>
              <w:left w:val="single" w:sz="12" w:space="0" w:color="auto"/>
              <w:bottom w:val="single" w:sz="12" w:space="0" w:color="auto"/>
            </w:tcBorders>
            <w:vAlign w:val="bottom"/>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ROK</w:t>
            </w:r>
          </w:p>
        </w:tc>
        <w:tc>
          <w:tcPr>
            <w:tcW w:w="2092" w:type="dxa"/>
            <w:tcBorders>
              <w:top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Počet zjištění</w:t>
            </w:r>
          </w:p>
        </w:tc>
        <w:tc>
          <w:tcPr>
            <w:tcW w:w="3012" w:type="dxa"/>
            <w:tcBorders>
              <w:top w:val="single" w:sz="12" w:space="0" w:color="auto"/>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Celkový objem v Kč</w:t>
            </w:r>
          </w:p>
        </w:tc>
      </w:tr>
      <w:tr w:rsidR="00F27B03" w:rsidRPr="00702991" w:rsidTr="00702991">
        <w:trPr>
          <w:trHeight w:hRule="exact" w:val="340"/>
          <w:jc w:val="center"/>
        </w:trPr>
        <w:tc>
          <w:tcPr>
            <w:tcW w:w="2092" w:type="dxa"/>
            <w:tcBorders>
              <w:top w:val="single" w:sz="12" w:space="0" w:color="auto"/>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2010</w:t>
            </w:r>
          </w:p>
        </w:tc>
        <w:tc>
          <w:tcPr>
            <w:tcW w:w="2092" w:type="dxa"/>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29</w:t>
            </w:r>
          </w:p>
        </w:tc>
        <w:tc>
          <w:tcPr>
            <w:tcW w:w="3012" w:type="dxa"/>
            <w:tcBorders>
              <w:top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42 111 736</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2011</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40</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198 897 050</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2012</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37</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41 603 324</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2013</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30</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31 809 856</w:t>
            </w:r>
          </w:p>
        </w:tc>
      </w:tr>
      <w:tr w:rsidR="00F27B03" w:rsidRPr="00702991" w:rsidTr="00702991">
        <w:trPr>
          <w:trHeight w:hRule="exact" w:val="340"/>
          <w:jc w:val="center"/>
        </w:trPr>
        <w:tc>
          <w:tcPr>
            <w:tcW w:w="2092" w:type="dxa"/>
            <w:tcBorders>
              <w:left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2014</w:t>
            </w:r>
          </w:p>
        </w:tc>
        <w:tc>
          <w:tcPr>
            <w:tcW w:w="2092" w:type="dxa"/>
            <w:tcBorders>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30</w:t>
            </w:r>
          </w:p>
        </w:tc>
        <w:tc>
          <w:tcPr>
            <w:tcW w:w="3012" w:type="dxa"/>
            <w:tcBorders>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99 825 401</w:t>
            </w:r>
          </w:p>
        </w:tc>
      </w:tr>
    </w:tbl>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Porušení zákona č. 218/2000 Sb., </w:t>
      </w:r>
      <w:r>
        <w:rPr>
          <w:rFonts w:ascii="Times New Roman" w:eastAsia="SimSun" w:hAnsi="Times New Roman"/>
          <w:kern w:val="1"/>
          <w:sz w:val="24"/>
          <w:szCs w:val="24"/>
          <w:lang w:eastAsia="hi-IN" w:bidi="hi-IN"/>
        </w:rPr>
        <w:t>o rozpočtových pravidlech</w:t>
      </w:r>
      <w:r w:rsidDel="00CA3347">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bylo identifikováno a předáno k dalšímu řízení místně příslušnému správci daně při provádění veřejnosprávních kontrol v celkovém počtu 546 případu s objemem 6.407 mil. Kč. Srovnání s předchozími roky je v následující tabulce: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092"/>
        <w:gridCol w:w="3012"/>
      </w:tblGrid>
      <w:tr w:rsidR="00F27B03" w:rsidRPr="00702991" w:rsidTr="00702991">
        <w:trPr>
          <w:trHeight w:hRule="exact" w:val="340"/>
          <w:jc w:val="center"/>
        </w:trPr>
        <w:tc>
          <w:tcPr>
            <w:tcW w:w="2092" w:type="dxa"/>
            <w:tcBorders>
              <w:top w:val="single" w:sz="12" w:space="0" w:color="auto"/>
              <w:left w:val="single" w:sz="12" w:space="0" w:color="auto"/>
              <w:bottom w:val="single" w:sz="12" w:space="0" w:color="auto"/>
            </w:tcBorders>
            <w:vAlign w:val="bottom"/>
          </w:tcPr>
          <w:p w:rsidR="00F27B03" w:rsidRPr="00702991" w:rsidRDefault="00F27B03" w:rsidP="00702991">
            <w:pPr>
              <w:widowControl w:val="0"/>
              <w:tabs>
                <w:tab w:val="left" w:pos="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ROK</w:t>
            </w:r>
          </w:p>
        </w:tc>
        <w:tc>
          <w:tcPr>
            <w:tcW w:w="2092" w:type="dxa"/>
            <w:tcBorders>
              <w:top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Počet porušení</w:t>
            </w:r>
          </w:p>
        </w:tc>
        <w:tc>
          <w:tcPr>
            <w:tcW w:w="3012" w:type="dxa"/>
            <w:tcBorders>
              <w:top w:val="single" w:sz="12" w:space="0" w:color="auto"/>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Celkový objem v Kč</w:t>
            </w:r>
          </w:p>
        </w:tc>
      </w:tr>
      <w:tr w:rsidR="00F27B03" w:rsidRPr="00702991" w:rsidTr="00702991">
        <w:trPr>
          <w:trHeight w:hRule="exact" w:val="340"/>
          <w:jc w:val="center"/>
        </w:trPr>
        <w:tc>
          <w:tcPr>
            <w:tcW w:w="2092" w:type="dxa"/>
            <w:tcBorders>
              <w:top w:val="single" w:sz="12" w:space="0" w:color="auto"/>
              <w:left w:val="single" w:sz="12" w:space="0" w:color="auto"/>
            </w:tcBorders>
            <w:vAlign w:val="center"/>
          </w:tcPr>
          <w:p w:rsidR="00F27B03" w:rsidRPr="00702991" w:rsidRDefault="00F27B03" w:rsidP="00702991">
            <w:pPr>
              <w:widowControl w:val="0"/>
              <w:tabs>
                <w:tab w:val="left" w:pos="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2010</w:t>
            </w:r>
          </w:p>
        </w:tc>
        <w:tc>
          <w:tcPr>
            <w:tcW w:w="2092" w:type="dxa"/>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591</w:t>
            </w:r>
          </w:p>
        </w:tc>
        <w:tc>
          <w:tcPr>
            <w:tcW w:w="3012" w:type="dxa"/>
            <w:tcBorders>
              <w:top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480 948 265</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2011</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252</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353 198 320</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2012</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438</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2 368 021 640</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2013</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686</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641 353 016</w:t>
            </w:r>
          </w:p>
        </w:tc>
      </w:tr>
      <w:tr w:rsidR="00F27B03" w:rsidRPr="00702991" w:rsidTr="00702991">
        <w:trPr>
          <w:trHeight w:hRule="exact" w:val="340"/>
          <w:jc w:val="center"/>
        </w:trPr>
        <w:tc>
          <w:tcPr>
            <w:tcW w:w="2092" w:type="dxa"/>
            <w:tcBorders>
              <w:left w:val="single" w:sz="12" w:space="0" w:color="auto"/>
              <w:bottom w:val="single" w:sz="12" w:space="0" w:color="auto"/>
            </w:tcBorders>
            <w:vAlign w:val="center"/>
          </w:tcPr>
          <w:p w:rsidR="00F27B03" w:rsidRPr="00702991" w:rsidRDefault="00F27B03" w:rsidP="00702991">
            <w:pPr>
              <w:widowControl w:val="0"/>
              <w:tabs>
                <w:tab w:val="left" w:pos="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2014</w:t>
            </w:r>
          </w:p>
        </w:tc>
        <w:tc>
          <w:tcPr>
            <w:tcW w:w="2092" w:type="dxa"/>
            <w:tcBorders>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546</w:t>
            </w:r>
          </w:p>
        </w:tc>
        <w:tc>
          <w:tcPr>
            <w:tcW w:w="3012" w:type="dxa"/>
            <w:tcBorders>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6 406 965 589</w:t>
            </w:r>
          </w:p>
        </w:tc>
      </w:tr>
    </w:tbl>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p>
    <w:p w:rsidR="00F27B03" w:rsidRDefault="00F27B03" w:rsidP="002405F4">
      <w:pPr>
        <w:widowControl w:val="0"/>
        <w:tabs>
          <w:tab w:val="left" w:pos="700"/>
        </w:tabs>
        <w:suppressAutoHyphens/>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Na základě zjištění z veřejnosprávních kontrol o porušení jiných právních předpisů (převážně zákona č. 137/2006 Sb., o veřejných zakázkách, zákona č. 250/2000 Sb., </w:t>
      </w:r>
      <w:r>
        <w:rPr>
          <w:rFonts w:ascii="Times New Roman" w:eastAsia="SimSun" w:hAnsi="Times New Roman" w:cs="Mangal"/>
          <w:kern w:val="1"/>
          <w:sz w:val="24"/>
          <w:szCs w:val="24"/>
          <w:lang w:eastAsia="hi-IN" w:bidi="hi-IN"/>
        </w:rPr>
        <w:lastRenderedPageBreak/>
        <w:t>o rozpočtových pravidlech územních rozpočtů, zákona č. 563/1991 Sb., o účetnictví, zákona č. 262/2006 Sb., zákoník práce, ale i zákona č. 101/2000 Sb., na ochranu osobních údajů a správní delikty podle zákona č. 500/2004 Sb., správní řád) bylo v roce 2014 předáno k dalšímu řízení k tomu příslušným orgánům celkem 165 případů s objemem cca 361 mil. Kč.</w:t>
      </w:r>
    </w:p>
    <w:p w:rsidR="00F27B03" w:rsidRDefault="00F27B03">
      <w:pPr>
        <w:rPr>
          <w:rFonts w:ascii="Times New Roman" w:eastAsia="SimSun" w:hAnsi="Times New Roman" w:cs="Mangal"/>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092"/>
        <w:gridCol w:w="3012"/>
      </w:tblGrid>
      <w:tr w:rsidR="00F27B03" w:rsidRPr="00702991" w:rsidTr="00702991">
        <w:trPr>
          <w:trHeight w:hRule="exact" w:val="340"/>
          <w:jc w:val="center"/>
        </w:trPr>
        <w:tc>
          <w:tcPr>
            <w:tcW w:w="2092" w:type="dxa"/>
            <w:tcBorders>
              <w:top w:val="single" w:sz="12" w:space="0" w:color="auto"/>
              <w:left w:val="single" w:sz="12" w:space="0" w:color="auto"/>
              <w:bottom w:val="single" w:sz="12" w:space="0" w:color="auto"/>
            </w:tcBorders>
            <w:vAlign w:val="bottom"/>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ROK</w:t>
            </w:r>
          </w:p>
        </w:tc>
        <w:tc>
          <w:tcPr>
            <w:tcW w:w="2092" w:type="dxa"/>
            <w:tcBorders>
              <w:top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Počet porušení</w:t>
            </w:r>
          </w:p>
        </w:tc>
        <w:tc>
          <w:tcPr>
            <w:tcW w:w="3012" w:type="dxa"/>
            <w:tcBorders>
              <w:top w:val="single" w:sz="12" w:space="0" w:color="auto"/>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b/>
                <w:kern w:val="1"/>
                <w:sz w:val="24"/>
                <w:szCs w:val="24"/>
                <w:lang w:eastAsia="hi-IN" w:bidi="hi-IN"/>
              </w:rPr>
            </w:pPr>
            <w:r w:rsidRPr="00702991">
              <w:rPr>
                <w:rFonts w:ascii="Times New Roman" w:eastAsia="SimSun" w:hAnsi="Times New Roman" w:cs="Mangal"/>
                <w:b/>
                <w:kern w:val="1"/>
                <w:sz w:val="24"/>
                <w:szCs w:val="24"/>
                <w:lang w:eastAsia="hi-IN" w:bidi="hi-IN"/>
              </w:rPr>
              <w:t>Celkový objem v Kč</w:t>
            </w:r>
          </w:p>
        </w:tc>
      </w:tr>
      <w:tr w:rsidR="00F27B03" w:rsidRPr="00702991" w:rsidTr="00702991">
        <w:trPr>
          <w:trHeight w:hRule="exact" w:val="340"/>
          <w:jc w:val="center"/>
        </w:trPr>
        <w:tc>
          <w:tcPr>
            <w:tcW w:w="2092" w:type="dxa"/>
            <w:tcBorders>
              <w:top w:val="single" w:sz="12" w:space="0" w:color="auto"/>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2010</w:t>
            </w:r>
          </w:p>
        </w:tc>
        <w:tc>
          <w:tcPr>
            <w:tcW w:w="2092" w:type="dxa"/>
            <w:tcBorders>
              <w:top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165</w:t>
            </w:r>
          </w:p>
        </w:tc>
        <w:tc>
          <w:tcPr>
            <w:tcW w:w="3012" w:type="dxa"/>
            <w:tcBorders>
              <w:top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149 578 843</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2011</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192</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483 984 618</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2012</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174</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1 370 345 988</w:t>
            </w:r>
          </w:p>
        </w:tc>
      </w:tr>
      <w:tr w:rsidR="00F27B03" w:rsidRPr="00702991" w:rsidTr="00702991">
        <w:trPr>
          <w:trHeight w:hRule="exact" w:val="340"/>
          <w:jc w:val="center"/>
        </w:trPr>
        <w:tc>
          <w:tcPr>
            <w:tcW w:w="2092" w:type="dxa"/>
            <w:tcBorders>
              <w:lef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2013</w:t>
            </w:r>
          </w:p>
        </w:tc>
        <w:tc>
          <w:tcPr>
            <w:tcW w:w="2092" w:type="dxa"/>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129</w:t>
            </w:r>
          </w:p>
        </w:tc>
        <w:tc>
          <w:tcPr>
            <w:tcW w:w="3012" w:type="dxa"/>
            <w:tcBorders>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462 707 972</w:t>
            </w:r>
          </w:p>
        </w:tc>
      </w:tr>
      <w:tr w:rsidR="00F27B03" w:rsidRPr="00702991" w:rsidTr="00702991">
        <w:trPr>
          <w:trHeight w:hRule="exact" w:val="340"/>
          <w:jc w:val="center"/>
        </w:trPr>
        <w:tc>
          <w:tcPr>
            <w:tcW w:w="2092" w:type="dxa"/>
            <w:tcBorders>
              <w:left w:val="single" w:sz="12" w:space="0" w:color="auto"/>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2014</w:t>
            </w:r>
          </w:p>
        </w:tc>
        <w:tc>
          <w:tcPr>
            <w:tcW w:w="2092" w:type="dxa"/>
            <w:tcBorders>
              <w:bottom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165</w:t>
            </w:r>
          </w:p>
        </w:tc>
        <w:tc>
          <w:tcPr>
            <w:tcW w:w="3012" w:type="dxa"/>
            <w:tcBorders>
              <w:bottom w:val="single" w:sz="12" w:space="0" w:color="auto"/>
              <w:right w:val="single" w:sz="12" w:space="0" w:color="auto"/>
            </w:tcBorders>
            <w:vAlign w:val="center"/>
          </w:tcPr>
          <w:p w:rsidR="00F27B03" w:rsidRPr="00702991" w:rsidRDefault="00F27B03" w:rsidP="00702991">
            <w:pPr>
              <w:widowControl w:val="0"/>
              <w:tabs>
                <w:tab w:val="left" w:pos="700"/>
              </w:tabs>
              <w:suppressAutoHyphens/>
              <w:jc w:val="center"/>
              <w:rPr>
                <w:rFonts w:ascii="Times New Roman" w:eastAsia="SimSun" w:hAnsi="Times New Roman" w:cs="Mangal"/>
                <w:kern w:val="1"/>
                <w:sz w:val="24"/>
                <w:szCs w:val="24"/>
                <w:lang w:eastAsia="hi-IN" w:bidi="hi-IN"/>
              </w:rPr>
            </w:pPr>
            <w:r w:rsidRPr="00702991">
              <w:rPr>
                <w:rFonts w:ascii="Times New Roman" w:eastAsia="SimSun" w:hAnsi="Times New Roman" w:cs="Mangal"/>
                <w:kern w:val="1"/>
                <w:sz w:val="24"/>
                <w:szCs w:val="24"/>
                <w:lang w:eastAsia="hi-IN" w:bidi="hi-IN"/>
              </w:rPr>
              <w:t>360 780 603</w:t>
            </w:r>
          </w:p>
        </w:tc>
      </w:tr>
    </w:tbl>
    <w:p w:rsidR="00F27B03" w:rsidRDefault="00F27B03" w:rsidP="00FB4293">
      <w:pPr>
        <w:spacing w:after="0"/>
        <w:ind w:firstLine="360"/>
        <w:rPr>
          <w:rFonts w:ascii="Times New Roman" w:hAnsi="Times New Roman"/>
          <w:sz w:val="24"/>
          <w:szCs w:val="24"/>
        </w:rPr>
      </w:pPr>
    </w:p>
    <w:p w:rsidR="00F27B03" w:rsidRDefault="00F27B03" w:rsidP="00FB4293">
      <w:pPr>
        <w:spacing w:after="0"/>
        <w:ind w:firstLine="360"/>
        <w:rPr>
          <w:rFonts w:ascii="Times New Roman" w:hAnsi="Times New Roman"/>
          <w:sz w:val="24"/>
          <w:szCs w:val="24"/>
        </w:rPr>
      </w:pPr>
      <w:r>
        <w:rPr>
          <w:rFonts w:ascii="Times New Roman" w:hAnsi="Times New Roman"/>
          <w:sz w:val="24"/>
          <w:szCs w:val="24"/>
        </w:rPr>
        <w:t>Hlavními nedostatky zjišťovanými v rámci prováděných veřejnosprávních kontrol bylo:</w:t>
      </w:r>
    </w:p>
    <w:p w:rsidR="00F27B03" w:rsidRDefault="00F27B03" w:rsidP="00C20038">
      <w:pPr>
        <w:pStyle w:val="Odstavecseseznamem"/>
        <w:numPr>
          <w:ilvl w:val="0"/>
          <w:numId w:val="18"/>
        </w:numPr>
        <w:rPr>
          <w:rFonts w:ascii="Times New Roman" w:hAnsi="Times New Roman"/>
          <w:sz w:val="24"/>
          <w:szCs w:val="24"/>
        </w:rPr>
      </w:pPr>
      <w:r>
        <w:rPr>
          <w:rFonts w:ascii="Times New Roman" w:hAnsi="Times New Roman"/>
          <w:sz w:val="24"/>
          <w:szCs w:val="24"/>
        </w:rPr>
        <w:t>porušování zásad řádné správy a ochrany majetku předaného k hospodaření příspěvkovým organizacím,</w:t>
      </w:r>
    </w:p>
    <w:p w:rsidR="00F27B03" w:rsidRDefault="00F27B03" w:rsidP="00C20038">
      <w:pPr>
        <w:pStyle w:val="Odstavecseseznamem"/>
        <w:numPr>
          <w:ilvl w:val="0"/>
          <w:numId w:val="18"/>
        </w:numPr>
        <w:rPr>
          <w:rFonts w:ascii="Times New Roman" w:hAnsi="Times New Roman"/>
          <w:sz w:val="24"/>
          <w:szCs w:val="24"/>
        </w:rPr>
      </w:pPr>
      <w:r>
        <w:rPr>
          <w:rFonts w:ascii="Times New Roman" w:hAnsi="Times New Roman"/>
          <w:sz w:val="24"/>
          <w:szCs w:val="24"/>
        </w:rPr>
        <w:t>nedostatky v účinnosti nastaveného vnitřního kontrolního systému u příspěvkových organizací,</w:t>
      </w:r>
    </w:p>
    <w:p w:rsidR="00F27B03" w:rsidRDefault="00F27B03" w:rsidP="00C20038">
      <w:pPr>
        <w:pStyle w:val="Odstavecseseznamem"/>
        <w:numPr>
          <w:ilvl w:val="0"/>
          <w:numId w:val="18"/>
        </w:numPr>
        <w:rPr>
          <w:rFonts w:ascii="Times New Roman" w:hAnsi="Times New Roman"/>
          <w:sz w:val="24"/>
          <w:szCs w:val="24"/>
        </w:rPr>
      </w:pPr>
      <w:r>
        <w:rPr>
          <w:rFonts w:ascii="Times New Roman" w:hAnsi="Times New Roman"/>
          <w:sz w:val="24"/>
          <w:szCs w:val="24"/>
        </w:rPr>
        <w:t>uzavírání smluv bez předchozího souhlasu zřizovatele,</w:t>
      </w:r>
    </w:p>
    <w:p w:rsidR="00F27B03" w:rsidRDefault="00F27B03" w:rsidP="00C20038">
      <w:pPr>
        <w:pStyle w:val="Odstavecseseznamem"/>
        <w:numPr>
          <w:ilvl w:val="0"/>
          <w:numId w:val="18"/>
        </w:numPr>
        <w:rPr>
          <w:rFonts w:ascii="Times New Roman" w:hAnsi="Times New Roman"/>
          <w:sz w:val="24"/>
          <w:szCs w:val="24"/>
        </w:rPr>
      </w:pPr>
      <w:r>
        <w:rPr>
          <w:rFonts w:ascii="Times New Roman" w:hAnsi="Times New Roman"/>
          <w:sz w:val="24"/>
          <w:szCs w:val="24"/>
        </w:rPr>
        <w:t>nedodržování zákona o účetnictví (časové rozlišení, oddělené sledování poskytnutých účelových dotací, použití nesprávných účetních metod, atd.),</w:t>
      </w:r>
    </w:p>
    <w:p w:rsidR="00F27B03" w:rsidRPr="00B74C85" w:rsidRDefault="00F27B03" w:rsidP="00C20038">
      <w:pPr>
        <w:pStyle w:val="Odstavecseseznamem"/>
        <w:numPr>
          <w:ilvl w:val="0"/>
          <w:numId w:val="18"/>
        </w:numPr>
        <w:rPr>
          <w:rFonts w:ascii="Times New Roman" w:hAnsi="Times New Roman"/>
          <w:sz w:val="24"/>
          <w:szCs w:val="24"/>
        </w:rPr>
      </w:pPr>
      <w:r>
        <w:rPr>
          <w:rFonts w:ascii="Times New Roman" w:hAnsi="Times New Roman"/>
          <w:sz w:val="24"/>
          <w:szCs w:val="24"/>
        </w:rPr>
        <w:t>porušování zákona č. 137/2006 Sb., o veřejných zakázkách (porušování pravidel pro zadávání veřejných zakázek, rozdělování veřejných zakázek, porušování pravidel transparentnosti, nediskriminace a rovného zacházení, uzavírání smluv bez výběrového řízení, atd.).</w:t>
      </w:r>
    </w:p>
    <w:p w:rsidR="00F27B03" w:rsidRPr="008B4265" w:rsidRDefault="00F27B03" w:rsidP="00B74C85">
      <w:pPr>
        <w:pStyle w:val="Odstavecseseznamem"/>
        <w:rPr>
          <w:rFonts w:ascii="Times New Roman" w:hAnsi="Times New Roman"/>
          <w:sz w:val="24"/>
          <w:szCs w:val="24"/>
        </w:rPr>
      </w:pPr>
    </w:p>
    <w:p w:rsidR="00F27B03" w:rsidRPr="00427314" w:rsidRDefault="00F27B03" w:rsidP="00C20038">
      <w:pPr>
        <w:widowControl w:val="0"/>
        <w:numPr>
          <w:ilvl w:val="0"/>
          <w:numId w:val="4"/>
        </w:numPr>
        <w:tabs>
          <w:tab w:val="left" w:pos="709"/>
        </w:tabs>
        <w:suppressAutoHyphens/>
        <w:spacing w:line="480" w:lineRule="auto"/>
        <w:ind w:left="709" w:hanging="709"/>
        <w:rPr>
          <w:rFonts w:ascii="Times New Roman" w:eastAsia="SimSun" w:hAnsi="Times New Roman" w:cs="Mangal"/>
          <w:kern w:val="2"/>
          <w:sz w:val="28"/>
          <w:szCs w:val="28"/>
          <w:lang w:eastAsia="hi-IN" w:bidi="hi-IN"/>
        </w:rPr>
      </w:pPr>
      <w:r w:rsidRPr="00427314">
        <w:rPr>
          <w:rFonts w:ascii="Times New Roman" w:eastAsia="SimSun" w:hAnsi="Times New Roman" w:cs="Mangal"/>
          <w:b/>
          <w:bCs/>
          <w:kern w:val="2"/>
          <w:sz w:val="28"/>
          <w:szCs w:val="28"/>
          <w:lang w:eastAsia="hi-IN" w:bidi="hi-IN"/>
        </w:rPr>
        <w:t>Veřejnosprávní kontroly a audity finančních prostředků ze zahraničí</w:t>
      </w:r>
    </w:p>
    <w:p w:rsidR="00F27B03" w:rsidRPr="008D6625" w:rsidRDefault="00F27B03" w:rsidP="008D6625">
      <w:pPr>
        <w:pStyle w:val="Odstavecseseznamem"/>
        <w:numPr>
          <w:ilvl w:val="0"/>
          <w:numId w:val="3"/>
        </w:numPr>
        <w:tabs>
          <w:tab w:val="clear" w:pos="720"/>
          <w:tab w:val="num" w:pos="426"/>
        </w:tabs>
        <w:ind w:left="851" w:hanging="851"/>
        <w:rPr>
          <w:rFonts w:ascii="Times New Roman" w:hAnsi="Times New Roman"/>
          <w:b/>
          <w:sz w:val="24"/>
          <w:szCs w:val="24"/>
          <w:lang w:eastAsia="cs-CZ"/>
        </w:rPr>
      </w:pPr>
      <w:r w:rsidRPr="00F909E3">
        <w:rPr>
          <w:rFonts w:ascii="Times New Roman" w:hAnsi="Times New Roman"/>
          <w:b/>
          <w:sz w:val="24"/>
          <w:szCs w:val="24"/>
          <w:lang w:eastAsia="cs-CZ"/>
        </w:rPr>
        <w:t xml:space="preserve">A Veřejnosprávní kontrola a audit strukturálních fondů, Fondu soudržnosti a Evropského rybářského fondu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Ministerstvo financí, jako ústřední orgán státní správy pro finanční kontrolu, metodicky řídí, koordinuje a zajišťuje veškeré činnosti, které pro Českou republiku vyplývají ze zajištění sdílené odpovědnosti za správu fondů Evropské unie (dále jen „EU“), které mj. zahrnují výkon finanční kontroly v rámci schválených operačních programů a projektů</w:t>
      </w:r>
      <w:r>
        <w:rPr>
          <w:rFonts w:ascii="Times New Roman" w:hAnsi="Times New Roman"/>
          <w:sz w:val="24"/>
          <w:szCs w:val="24"/>
          <w:lang w:eastAsia="cs-CZ"/>
        </w:rPr>
        <w:t xml:space="preserve"> </w:t>
      </w:r>
      <w:r w:rsidRPr="006F67E8">
        <w:rPr>
          <w:rFonts w:ascii="Times New Roman" w:hAnsi="Times New Roman"/>
          <w:sz w:val="24"/>
          <w:szCs w:val="24"/>
          <w:lang w:eastAsia="cs-CZ"/>
        </w:rPr>
        <w:t xml:space="preserve">spolufinancovaných z fondů EU. Základním východiskem pro vydávání dílčích metodických </w:t>
      </w:r>
      <w:r w:rsidRPr="006F67E8">
        <w:rPr>
          <w:rFonts w:ascii="Times New Roman" w:hAnsi="Times New Roman"/>
          <w:sz w:val="24"/>
          <w:szCs w:val="24"/>
          <w:lang w:eastAsia="cs-CZ"/>
        </w:rPr>
        <w:lastRenderedPageBreak/>
        <w:t>pokynů, konzultovaných s příslušnými orgány Evropské komise, jsou platné právní předpisy České republiky a EU.</w:t>
      </w:r>
    </w:p>
    <w:p w:rsidR="00F27B03" w:rsidRDefault="00F27B03" w:rsidP="008D6625">
      <w:pPr>
        <w:rPr>
          <w:rFonts w:ascii="Times New Roman" w:hAnsi="Times New Roman"/>
          <w:b/>
          <w:sz w:val="24"/>
          <w:szCs w:val="24"/>
          <w:lang w:eastAsia="cs-CZ"/>
        </w:rPr>
      </w:pPr>
    </w:p>
    <w:p w:rsidR="00F27B03" w:rsidRPr="006F67E8" w:rsidRDefault="00F27B03" w:rsidP="008D6625">
      <w:pPr>
        <w:rPr>
          <w:rFonts w:ascii="Times New Roman" w:hAnsi="Times New Roman"/>
          <w:b/>
          <w:sz w:val="24"/>
          <w:szCs w:val="24"/>
          <w:u w:val="single"/>
          <w:lang w:eastAsia="cs-CZ"/>
        </w:rPr>
      </w:pPr>
      <w:r w:rsidRPr="006F67E8">
        <w:rPr>
          <w:rFonts w:ascii="Times New Roman" w:hAnsi="Times New Roman"/>
          <w:b/>
          <w:sz w:val="24"/>
          <w:szCs w:val="24"/>
          <w:lang w:eastAsia="cs-CZ"/>
        </w:rPr>
        <w:t>Celkové shrnutí –</w:t>
      </w:r>
      <w:r>
        <w:rPr>
          <w:rFonts w:ascii="Times New Roman" w:hAnsi="Times New Roman"/>
          <w:b/>
          <w:sz w:val="24"/>
          <w:szCs w:val="24"/>
          <w:u w:val="single"/>
          <w:lang w:eastAsia="cs-CZ"/>
        </w:rPr>
        <w:t xml:space="preserve"> </w:t>
      </w:r>
      <w:r w:rsidRPr="006F67E8">
        <w:rPr>
          <w:rFonts w:ascii="Times New Roman" w:hAnsi="Times New Roman"/>
          <w:b/>
          <w:sz w:val="24"/>
          <w:szCs w:val="24"/>
          <w:u w:val="single"/>
          <w:lang w:eastAsia="cs-CZ"/>
        </w:rPr>
        <w:t>Auditní orgán Ministerstva financí</w:t>
      </w:r>
      <w:r>
        <w:rPr>
          <w:rFonts w:ascii="Times New Roman" w:hAnsi="Times New Roman"/>
          <w:b/>
          <w:sz w:val="24"/>
          <w:szCs w:val="24"/>
          <w:u w:val="single"/>
          <w:lang w:eastAsia="cs-CZ"/>
        </w:rPr>
        <w:t xml:space="preserve"> </w:t>
      </w:r>
    </w:p>
    <w:p w:rsidR="00F27B03" w:rsidRPr="006F67E8" w:rsidRDefault="00F27B03" w:rsidP="006F67E8">
      <w:pPr>
        <w:spacing w:after="0"/>
        <w:rPr>
          <w:rFonts w:ascii="Times New Roman" w:hAnsi="Times New Roman"/>
          <w:sz w:val="24"/>
          <w:szCs w:val="24"/>
          <w:lang w:eastAsia="cs-CZ"/>
        </w:rPr>
      </w:pPr>
      <w:r w:rsidRPr="006F67E8">
        <w:rPr>
          <w:rFonts w:ascii="Times New Roman" w:hAnsi="Times New Roman"/>
          <w:sz w:val="24"/>
          <w:szCs w:val="24"/>
          <w:lang w:eastAsia="cs-CZ"/>
        </w:rPr>
        <w:t xml:space="preserve">           V programovém období 2007-2013 byly hlavní aktivity zaměřeny jak na výkon auditu operací (výběr vzorku pro rok 2014, resp. jeho postup byl opět konzultován s EK), tak i na důsledné posouzení fungování řídících a kontrolních systémů </w:t>
      </w:r>
      <w:r>
        <w:rPr>
          <w:rFonts w:ascii="Times New Roman" w:hAnsi="Times New Roman"/>
          <w:sz w:val="24"/>
          <w:szCs w:val="24"/>
          <w:lang w:eastAsia="cs-CZ"/>
        </w:rPr>
        <w:t xml:space="preserve">jednotlivých operačních programů </w:t>
      </w:r>
      <w:r w:rsidRPr="006F67E8">
        <w:rPr>
          <w:rFonts w:ascii="Times New Roman" w:hAnsi="Times New Roman"/>
          <w:sz w:val="24"/>
          <w:szCs w:val="24"/>
          <w:lang w:eastAsia="cs-CZ"/>
        </w:rPr>
        <w:t>na základě vykonaných auditů systémů</w:t>
      </w:r>
      <w:r>
        <w:rPr>
          <w:rFonts w:ascii="Times New Roman" w:hAnsi="Times New Roman"/>
          <w:sz w:val="24"/>
          <w:szCs w:val="24"/>
          <w:lang w:eastAsia="cs-CZ"/>
        </w:rPr>
        <w:t xml:space="preserve"> v roce 2014</w:t>
      </w:r>
      <w:r w:rsidRPr="006F67E8">
        <w:rPr>
          <w:rFonts w:ascii="Times New Roman" w:hAnsi="Times New Roman"/>
          <w:sz w:val="24"/>
          <w:szCs w:val="24"/>
          <w:lang w:eastAsia="cs-CZ"/>
        </w:rPr>
        <w:t>. Byly ověřovány klíčové požadavky/hodnotící kritéria na úrovni řídicích orgánů a</w:t>
      </w:r>
      <w:r>
        <w:rPr>
          <w:rFonts w:ascii="Times New Roman" w:hAnsi="Times New Roman"/>
          <w:sz w:val="24"/>
          <w:szCs w:val="24"/>
          <w:lang w:eastAsia="cs-CZ"/>
        </w:rPr>
        <w:t> </w:t>
      </w:r>
      <w:r w:rsidRPr="006F67E8">
        <w:rPr>
          <w:rFonts w:ascii="Times New Roman" w:hAnsi="Times New Roman"/>
          <w:sz w:val="24"/>
          <w:szCs w:val="24"/>
          <w:lang w:eastAsia="cs-CZ"/>
        </w:rPr>
        <w:t>zprostředkujících subjektů, Platební</w:t>
      </w:r>
      <w:r>
        <w:rPr>
          <w:rFonts w:ascii="Times New Roman" w:hAnsi="Times New Roman"/>
          <w:sz w:val="24"/>
          <w:szCs w:val="24"/>
          <w:lang w:eastAsia="cs-CZ"/>
        </w:rPr>
        <w:t>ho</w:t>
      </w:r>
      <w:r w:rsidRPr="006F67E8">
        <w:rPr>
          <w:rFonts w:ascii="Times New Roman" w:hAnsi="Times New Roman"/>
          <w:sz w:val="24"/>
          <w:szCs w:val="24"/>
          <w:lang w:eastAsia="cs-CZ"/>
        </w:rPr>
        <w:t xml:space="preserve"> a certifikační</w:t>
      </w:r>
      <w:r>
        <w:rPr>
          <w:rFonts w:ascii="Times New Roman" w:hAnsi="Times New Roman"/>
          <w:sz w:val="24"/>
          <w:szCs w:val="24"/>
          <w:lang w:eastAsia="cs-CZ"/>
        </w:rPr>
        <w:t>ho</w:t>
      </w:r>
      <w:r w:rsidRPr="006F67E8">
        <w:rPr>
          <w:rFonts w:ascii="Times New Roman" w:hAnsi="Times New Roman"/>
          <w:sz w:val="24"/>
          <w:szCs w:val="24"/>
          <w:lang w:eastAsia="cs-CZ"/>
        </w:rPr>
        <w:t xml:space="preserve"> orgán</w:t>
      </w:r>
      <w:r>
        <w:rPr>
          <w:rFonts w:ascii="Times New Roman" w:hAnsi="Times New Roman"/>
          <w:sz w:val="24"/>
          <w:szCs w:val="24"/>
          <w:lang w:eastAsia="cs-CZ"/>
        </w:rPr>
        <w:t>u</w:t>
      </w:r>
      <w:r w:rsidRPr="006F67E8">
        <w:rPr>
          <w:rFonts w:ascii="Times New Roman" w:hAnsi="Times New Roman"/>
          <w:sz w:val="24"/>
          <w:szCs w:val="24"/>
          <w:lang w:eastAsia="cs-CZ"/>
        </w:rPr>
        <w:t>. Současně bylo ověřováno plnění opatření k nápravě, které bylo identifikováno v předchozích auditech systémů. Celkově lze shrnout za odeslané výroční kontrolní zprávy za rok 2014, že zde došlo k významnému snížení chybovosti oproti roku 2013</w:t>
      </w:r>
      <w:r>
        <w:rPr>
          <w:rFonts w:ascii="Times New Roman" w:hAnsi="Times New Roman"/>
          <w:sz w:val="24"/>
          <w:szCs w:val="24"/>
          <w:lang w:eastAsia="cs-CZ"/>
        </w:rPr>
        <w:t>,</w:t>
      </w:r>
      <w:r w:rsidRPr="006F67E8">
        <w:rPr>
          <w:rFonts w:ascii="Times New Roman" w:hAnsi="Times New Roman"/>
          <w:sz w:val="24"/>
          <w:szCs w:val="24"/>
          <w:lang w:eastAsia="cs-CZ"/>
        </w:rPr>
        <w:t xml:space="preserve"> 9 operačních programů identifikovalo chybovost pod 2</w:t>
      </w:r>
      <w:r>
        <w:rPr>
          <w:rFonts w:ascii="Times New Roman" w:hAnsi="Times New Roman"/>
          <w:sz w:val="24"/>
          <w:szCs w:val="24"/>
          <w:lang w:eastAsia="cs-CZ"/>
        </w:rPr>
        <w:t> </w:t>
      </w:r>
      <w:r w:rsidRPr="006F67E8">
        <w:rPr>
          <w:rFonts w:ascii="Times New Roman" w:hAnsi="Times New Roman"/>
          <w:sz w:val="24"/>
          <w:szCs w:val="24"/>
          <w:lang w:eastAsia="cs-CZ"/>
        </w:rPr>
        <w:t>%, 7 operačních programů chybovost mezi 2-5</w:t>
      </w:r>
      <w:r>
        <w:rPr>
          <w:rFonts w:ascii="Times New Roman" w:hAnsi="Times New Roman"/>
          <w:sz w:val="24"/>
          <w:szCs w:val="24"/>
          <w:lang w:eastAsia="cs-CZ"/>
        </w:rPr>
        <w:t> </w:t>
      </w:r>
      <w:r w:rsidRPr="006F67E8">
        <w:rPr>
          <w:rFonts w:ascii="Times New Roman" w:hAnsi="Times New Roman"/>
          <w:sz w:val="24"/>
          <w:szCs w:val="24"/>
          <w:lang w:eastAsia="cs-CZ"/>
        </w:rPr>
        <w:t>%, 2 operační programy nad 5</w:t>
      </w:r>
      <w:r>
        <w:rPr>
          <w:rFonts w:ascii="Times New Roman" w:hAnsi="Times New Roman"/>
          <w:sz w:val="24"/>
          <w:szCs w:val="24"/>
          <w:lang w:eastAsia="cs-CZ"/>
        </w:rPr>
        <w:t xml:space="preserve"> </w:t>
      </w:r>
      <w:r w:rsidRPr="006F67E8">
        <w:rPr>
          <w:rFonts w:ascii="Times New Roman" w:hAnsi="Times New Roman"/>
          <w:sz w:val="24"/>
          <w:szCs w:val="24"/>
          <w:lang w:eastAsia="cs-CZ"/>
        </w:rPr>
        <w:t>% a</w:t>
      </w:r>
      <w:r>
        <w:rPr>
          <w:rFonts w:ascii="Times New Roman" w:hAnsi="Times New Roman"/>
          <w:sz w:val="24"/>
          <w:szCs w:val="24"/>
          <w:lang w:eastAsia="cs-CZ"/>
        </w:rPr>
        <w:t> </w:t>
      </w:r>
      <w:r w:rsidRPr="006F67E8">
        <w:rPr>
          <w:rFonts w:ascii="Times New Roman" w:hAnsi="Times New Roman"/>
          <w:sz w:val="24"/>
          <w:szCs w:val="24"/>
          <w:lang w:eastAsia="cs-CZ"/>
        </w:rPr>
        <w:t>1</w:t>
      </w:r>
      <w:r>
        <w:rPr>
          <w:rFonts w:ascii="Times New Roman" w:hAnsi="Times New Roman"/>
          <w:sz w:val="24"/>
          <w:szCs w:val="24"/>
          <w:lang w:eastAsia="cs-CZ"/>
        </w:rPr>
        <w:t> </w:t>
      </w:r>
      <w:r w:rsidRPr="006F67E8">
        <w:rPr>
          <w:rFonts w:ascii="Times New Roman" w:hAnsi="Times New Roman"/>
          <w:sz w:val="24"/>
          <w:szCs w:val="24"/>
          <w:lang w:eastAsia="cs-CZ"/>
        </w:rPr>
        <w:t>operační program byl neauditován z důvodu pozastavení certifikace. Výsledky auditní činnost v roce 2014 se promítají do auditní činnosti roku 2015.</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průběhu roku byly aktualizovány řídící a kontrolní systémy jednotlivých operačních programů, které byly ověřovány v auditech systému prováděných od 2. pololetí 2014, jejichž výsledky budou k dispozici ve výročních kontrolních zprávách (VKZ) </w:t>
      </w:r>
      <w:r>
        <w:rPr>
          <w:rFonts w:ascii="Times New Roman" w:hAnsi="Times New Roman"/>
          <w:sz w:val="24"/>
          <w:szCs w:val="24"/>
          <w:lang w:eastAsia="cs-CZ"/>
        </w:rPr>
        <w:t xml:space="preserve">za rok </w:t>
      </w:r>
      <w:r w:rsidRPr="006F67E8">
        <w:rPr>
          <w:rFonts w:ascii="Times New Roman" w:hAnsi="Times New Roman"/>
          <w:sz w:val="24"/>
          <w:szCs w:val="24"/>
          <w:lang w:eastAsia="cs-CZ"/>
        </w:rPr>
        <w:t>2015. Na úrovni Auditního orgánu (AO) došlo rovněž k aktualizaci metodiky AO a dalších relevantních dokumentů. Auditní orgán na MF od 1. dubna 2014 provedl změnu ve svém vedení, novým ředitelem byl jmenován PhDr. Evžen Mrázek. K 1. prosinci 2014 bylo schváleno nové organizační schéma. Auditní orgán má nyní 5 oddělení a nové nastavení pozic v procesu auditního postupu.</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úrovni AO byly v roce 2014 zahájeny přípravy pro auditní činnost pro programové období 2014 – 2020. AO byl určen na základě usnesení vlády ČR č. 612 ze dne 21. července 2014 jako nezávislý auditní subjekt (NAS) pro programové období 2014-2020 zajišťující</w:t>
      </w:r>
      <w:r>
        <w:rPr>
          <w:rFonts w:ascii="Times New Roman" w:hAnsi="Times New Roman"/>
          <w:sz w:val="24"/>
          <w:szCs w:val="24"/>
          <w:lang w:eastAsia="cs-CZ"/>
        </w:rPr>
        <w:t xml:space="preserve"> vypracování zprávy a stanoviska, na základě kterých bude</w:t>
      </w:r>
      <w:r w:rsidRPr="006F67E8">
        <w:rPr>
          <w:rFonts w:ascii="Times New Roman" w:hAnsi="Times New Roman"/>
          <w:sz w:val="24"/>
          <w:szCs w:val="24"/>
          <w:lang w:eastAsia="cs-CZ"/>
        </w:rPr>
        <w:t xml:space="preserve"> </w:t>
      </w:r>
      <w:r>
        <w:rPr>
          <w:rFonts w:ascii="Times New Roman" w:hAnsi="Times New Roman"/>
          <w:sz w:val="24"/>
          <w:szCs w:val="24"/>
          <w:lang w:eastAsia="cs-CZ"/>
        </w:rPr>
        <w:t>provedeno</w:t>
      </w:r>
      <w:r w:rsidRPr="006F67E8">
        <w:rPr>
          <w:rFonts w:ascii="Times New Roman" w:hAnsi="Times New Roman"/>
          <w:sz w:val="24"/>
          <w:szCs w:val="24"/>
          <w:lang w:eastAsia="cs-CZ"/>
        </w:rPr>
        <w:t xml:space="preserve"> určení řídících a certifikačních orgánů. </w:t>
      </w:r>
    </w:p>
    <w:p w:rsidR="00F27B03" w:rsidRPr="006F67E8" w:rsidRDefault="00F27B03" w:rsidP="00F84763">
      <w:pPr>
        <w:spacing w:after="0"/>
        <w:ind w:firstLine="708"/>
        <w:rPr>
          <w:rFonts w:ascii="Times New Roman" w:hAnsi="Times New Roman"/>
          <w:sz w:val="24"/>
          <w:szCs w:val="24"/>
          <w:lang w:eastAsia="cs-CZ"/>
        </w:rPr>
      </w:pPr>
      <w:r>
        <w:rPr>
          <w:rFonts w:ascii="Times New Roman" w:hAnsi="Times New Roman"/>
          <w:sz w:val="24"/>
          <w:szCs w:val="24"/>
          <w:lang w:eastAsia="cs-CZ"/>
        </w:rPr>
        <w:t>Základním cílem Auditního orgánu na začátku nového programového období 2014 – 2020 je posoudit připravenost řídících orgánů a certifikačního orgánu, zejména ověřit a zajistit, že tyto instituce mají nastaveny odpovídající řídící kontrolní systémy.</w:t>
      </w:r>
      <w:r w:rsidRPr="006F67E8">
        <w:rPr>
          <w:rFonts w:ascii="Times New Roman" w:hAnsi="Times New Roman"/>
          <w:sz w:val="24"/>
          <w:szCs w:val="24"/>
          <w:lang w:eastAsia="cs-CZ"/>
        </w:rPr>
        <w:t xml:space="preserve"> </w:t>
      </w:r>
    </w:p>
    <w:p w:rsidR="00F27B03" w:rsidRPr="00FB4293" w:rsidRDefault="00F27B03" w:rsidP="00FB4293">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V průběhu roku proběhlo ze strany EK několik auditních misí na ověření řídících a</w:t>
      </w:r>
      <w:r>
        <w:rPr>
          <w:rFonts w:ascii="Times New Roman" w:hAnsi="Times New Roman"/>
          <w:sz w:val="24"/>
          <w:szCs w:val="24"/>
          <w:lang w:eastAsia="cs-CZ"/>
        </w:rPr>
        <w:t> </w:t>
      </w:r>
      <w:r w:rsidRPr="006F67E8">
        <w:rPr>
          <w:rFonts w:ascii="Times New Roman" w:hAnsi="Times New Roman"/>
          <w:sz w:val="24"/>
          <w:szCs w:val="24"/>
          <w:lang w:eastAsia="cs-CZ"/>
        </w:rPr>
        <w:t xml:space="preserve">kontrolních systémů jak na úrovni řídících orgánů, tak i auditního orgánu, na které bylo ze strany členského státu adekvátním způsobem reagováno (přijaty případné plošné korekce v případě identifikace významných nedostatků – OP PA, OP PI, ROP SČ; úpravou řídícího </w:t>
      </w:r>
      <w:r>
        <w:rPr>
          <w:rFonts w:ascii="Times New Roman" w:hAnsi="Times New Roman"/>
          <w:sz w:val="24"/>
          <w:szCs w:val="24"/>
          <w:lang w:eastAsia="cs-CZ"/>
        </w:rPr>
        <w:t>a </w:t>
      </w:r>
      <w:r w:rsidRPr="006F67E8">
        <w:rPr>
          <w:rFonts w:ascii="Times New Roman" w:hAnsi="Times New Roman"/>
          <w:sz w:val="24"/>
          <w:szCs w:val="24"/>
          <w:lang w:eastAsia="cs-CZ"/>
        </w:rPr>
        <w:t>kontrolního systému nebo individuální opravou zjištěných nedostatků). Na základě provedených auditů bylo ze strany Evropské komise konstatováno naplnění globálního akčního plánu přijatého v důsledku identifikovaných systémových problémů v roce 2012, přičemž dílčí oblasti jsou z úrovně EK i nadále sledovány (viz dále).</w:t>
      </w:r>
    </w:p>
    <w:p w:rsidR="00F27B03" w:rsidRDefault="00F27B03" w:rsidP="00A12A7E">
      <w:pPr>
        <w:ind w:firstLine="709"/>
        <w:rPr>
          <w:rFonts w:ascii="Times New Roman" w:hAnsi="Times New Roman"/>
          <w:b/>
          <w:sz w:val="24"/>
          <w:szCs w:val="24"/>
          <w:lang w:eastAsia="cs-CZ"/>
        </w:rPr>
      </w:pPr>
    </w:p>
    <w:p w:rsidR="00F27B03" w:rsidRPr="00A12A7E" w:rsidRDefault="00F27B03" w:rsidP="008D6625">
      <w:pPr>
        <w:rPr>
          <w:rFonts w:ascii="Times New Roman" w:hAnsi="Times New Roman"/>
          <w:b/>
          <w:sz w:val="24"/>
          <w:szCs w:val="24"/>
          <w:lang w:eastAsia="cs-CZ"/>
        </w:rPr>
      </w:pPr>
      <w:r w:rsidRPr="006F67E8">
        <w:rPr>
          <w:rFonts w:ascii="Times New Roman" w:hAnsi="Times New Roman"/>
          <w:b/>
          <w:sz w:val="24"/>
          <w:szCs w:val="24"/>
          <w:lang w:eastAsia="cs-CZ"/>
        </w:rPr>
        <w:t>Programové období</w:t>
      </w:r>
      <w:r w:rsidRPr="006F67E8">
        <w:rPr>
          <w:rFonts w:ascii="Times New Roman" w:hAnsi="Times New Roman"/>
          <w:b/>
          <w:sz w:val="24"/>
          <w:szCs w:val="24"/>
          <w:lang w:eastAsia="cs-CZ"/>
        </w:rPr>
        <w:tab/>
        <w:t>2007 – 2013</w:t>
      </w:r>
      <w:r>
        <w:rPr>
          <w:rFonts w:ascii="Times New Roman" w:hAnsi="Times New Roman"/>
          <w:b/>
          <w:sz w:val="24"/>
          <w:szCs w:val="24"/>
          <w:lang w:eastAsia="cs-CZ"/>
        </w:rPr>
        <w:t xml:space="preserve"> </w:t>
      </w:r>
    </w:p>
    <w:p w:rsidR="00F27B03" w:rsidRPr="006F67E8" w:rsidRDefault="00F27B03" w:rsidP="006F67E8">
      <w:pPr>
        <w:spacing w:after="0"/>
        <w:rPr>
          <w:rFonts w:ascii="Times New Roman" w:hAnsi="Times New Roman"/>
          <w:sz w:val="24"/>
          <w:szCs w:val="24"/>
          <w:lang w:eastAsia="cs-CZ"/>
        </w:rPr>
      </w:pPr>
      <w:r w:rsidRPr="006F67E8">
        <w:rPr>
          <w:rFonts w:ascii="Times New Roman" w:hAnsi="Times New Roman"/>
          <w:sz w:val="24"/>
          <w:szCs w:val="24"/>
          <w:lang w:eastAsia="cs-CZ"/>
        </w:rPr>
        <w:tab/>
        <w:t xml:space="preserve">Ministerstvo financí zastává roli Auditního orgánu prostředků pomoci Evropské unie poskytnuté České republice v rámci strukturálních fondů, Fondu soudržnosti a Evropského rybářského fondu.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Pro programové období 2007 - 2013 byly hlavní aktivity Auditního orgánu zaměřeny jak na audity operací (především oblast veřejných zakázek), tak i na posouzení fungování řídících a kontrolních systémů jednotlivých operačních programů na základě provedených auditů systémů (především kontrolní činnost řídících orgánů/zprostředkujících subjektů).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Auditní orgán vykonal, resp. zahájil v roce 2014 </w:t>
      </w:r>
      <w:r w:rsidRPr="006F67E8">
        <w:rPr>
          <w:rFonts w:ascii="Times New Roman" w:hAnsi="Times New Roman"/>
          <w:b/>
          <w:sz w:val="24"/>
          <w:szCs w:val="24"/>
          <w:lang w:eastAsia="cs-CZ"/>
        </w:rPr>
        <w:t>celkem 771 auditních akcí, z toho 748 auditů</w:t>
      </w:r>
      <w:r w:rsidRPr="006F67E8">
        <w:rPr>
          <w:rFonts w:ascii="Times New Roman" w:hAnsi="Times New Roman"/>
          <w:sz w:val="24"/>
          <w:szCs w:val="24"/>
          <w:lang w:eastAsia="cs-CZ"/>
        </w:rPr>
        <w:t xml:space="preserve"> pokrývajících jak strukturální fondy, tak i Fond soudržnosti a </w:t>
      </w:r>
      <w:r w:rsidRPr="006F67E8">
        <w:rPr>
          <w:rFonts w:ascii="Times New Roman" w:hAnsi="Times New Roman"/>
          <w:b/>
          <w:sz w:val="24"/>
          <w:szCs w:val="24"/>
          <w:lang w:eastAsia="cs-CZ"/>
        </w:rPr>
        <w:t>23 auditů</w:t>
      </w:r>
      <w:r w:rsidRPr="006F67E8">
        <w:rPr>
          <w:rFonts w:ascii="Times New Roman" w:hAnsi="Times New Roman"/>
          <w:sz w:val="24"/>
          <w:szCs w:val="24"/>
          <w:lang w:eastAsia="cs-CZ"/>
        </w:rPr>
        <w:t xml:space="preserve"> u</w:t>
      </w:r>
      <w:r>
        <w:rPr>
          <w:rFonts w:ascii="Times New Roman" w:hAnsi="Times New Roman"/>
          <w:sz w:val="24"/>
          <w:szCs w:val="24"/>
          <w:lang w:eastAsia="cs-CZ"/>
        </w:rPr>
        <w:t> </w:t>
      </w:r>
      <w:r w:rsidRPr="006F67E8">
        <w:rPr>
          <w:rFonts w:ascii="Times New Roman" w:hAnsi="Times New Roman"/>
          <w:sz w:val="24"/>
          <w:szCs w:val="24"/>
          <w:lang w:eastAsia="cs-CZ"/>
        </w:rPr>
        <w:t xml:space="preserve">Evropského rybářského fondu.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roce 2014 byly hlavní aktivity zaměřeny na výkon auditů operací a auditů systémů. Ze statistiky auditů vyplývá, že </w:t>
      </w:r>
      <w:r w:rsidRPr="006F67E8">
        <w:rPr>
          <w:rFonts w:ascii="Times New Roman" w:hAnsi="Times New Roman"/>
          <w:b/>
          <w:sz w:val="24"/>
          <w:szCs w:val="24"/>
          <w:lang w:eastAsia="cs-CZ"/>
        </w:rPr>
        <w:t>704 auditních akcí se týkalo auditu operací a 63 auditů</w:t>
      </w:r>
      <w:r w:rsidRPr="006F67E8">
        <w:rPr>
          <w:rFonts w:ascii="Times New Roman" w:hAnsi="Times New Roman"/>
          <w:sz w:val="24"/>
          <w:szCs w:val="24"/>
          <w:lang w:eastAsia="cs-CZ"/>
        </w:rPr>
        <w:t xml:space="preserve"> mělo formu auditu systémů. Kromě toho proběhla 4 auditní šetření. Zatímco audity operací byly zaměřeny na ověření vykázaných výdajů, např. na soulad realizace operací s právními předpisy Evropské unie a České republiky a s pravidly publicity, na přiměřenost audit trailu, naplnění příslušných monitorovacích ukazatelů apod., audity systémů byly zaměřeny především na posouzení funkčnosti stávajících řídících a kontrolních systémů nastavených příslušnými řídícími orgány/zprostředkujícími subjekty.</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Komentář: tabulky níže vyjadřují srovnání roků 2013 a 2014 z hlediska celkového počtu vykonaných auditů, </w:t>
      </w:r>
      <w:r>
        <w:rPr>
          <w:rFonts w:ascii="Times New Roman" w:hAnsi="Times New Roman"/>
          <w:sz w:val="24"/>
          <w:szCs w:val="24"/>
          <w:lang w:eastAsia="cs-CZ"/>
        </w:rPr>
        <w:t>které jsou dále rozlišeny</w:t>
      </w:r>
      <w:r w:rsidRPr="006F67E8">
        <w:rPr>
          <w:rFonts w:ascii="Times New Roman" w:hAnsi="Times New Roman"/>
          <w:sz w:val="24"/>
          <w:szCs w:val="24"/>
          <w:lang w:eastAsia="cs-CZ"/>
        </w:rPr>
        <w:t xml:space="preserve"> na audity systému, audity operací a auditní šetření</w:t>
      </w:r>
      <w:r>
        <w:rPr>
          <w:rFonts w:ascii="Times New Roman" w:hAnsi="Times New Roman"/>
          <w:sz w:val="24"/>
          <w:szCs w:val="24"/>
          <w:lang w:eastAsia="cs-CZ"/>
        </w:rPr>
        <w:t xml:space="preserve"> (audity realizované z podnětu Evropské komise)</w:t>
      </w:r>
      <w:r w:rsidRPr="006F67E8">
        <w:rPr>
          <w:rFonts w:ascii="Times New Roman" w:hAnsi="Times New Roman"/>
          <w:sz w:val="24"/>
          <w:szCs w:val="24"/>
          <w:lang w:eastAsia="cs-CZ"/>
        </w:rPr>
        <w:t>.</w:t>
      </w:r>
    </w:p>
    <w:p w:rsidR="00F27B03" w:rsidRPr="006F67E8" w:rsidRDefault="00F27B03" w:rsidP="006F67E8">
      <w:pPr>
        <w:spacing w:after="0"/>
        <w:ind w:firstLine="708"/>
        <w:rPr>
          <w:rFonts w:ascii="Times New Roman" w:hAnsi="Times New Roman"/>
          <w:sz w:val="24"/>
          <w:szCs w:val="24"/>
          <w:lang w:eastAsia="cs-CZ"/>
        </w:rPr>
      </w:pPr>
    </w:p>
    <w:p w:rsidR="00F27B03" w:rsidRPr="006F67E8" w:rsidRDefault="008A6425" w:rsidP="006F67E8">
      <w:pPr>
        <w:spacing w:after="0"/>
        <w:rPr>
          <w:rFonts w:ascii="Times New Roman" w:hAnsi="Times New Roman"/>
          <w:sz w:val="24"/>
          <w:szCs w:val="24"/>
          <w:lang w:eastAsia="cs-CZ"/>
        </w:rPr>
      </w:pPr>
      <w:r>
        <w:rPr>
          <w:rFonts w:ascii="Times New Roman" w:hAnsi="Times New Roman"/>
          <w:noProof/>
          <w:sz w:val="24"/>
          <w:szCs w:val="24"/>
          <w:lang w:eastAsia="cs-CZ"/>
        </w:rPr>
        <w:lastRenderedPageBreak/>
        <w:drawing>
          <wp:inline distT="0" distB="0" distL="0" distR="0">
            <wp:extent cx="6037580" cy="3522980"/>
            <wp:effectExtent l="0" t="0" r="127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7580" cy="3522980"/>
                    </a:xfrm>
                    <a:prstGeom prst="rect">
                      <a:avLst/>
                    </a:prstGeom>
                    <a:noFill/>
                    <a:ln>
                      <a:noFill/>
                    </a:ln>
                  </pic:spPr>
                </pic:pic>
              </a:graphicData>
            </a:graphic>
          </wp:inline>
        </w:drawing>
      </w:r>
    </w:p>
    <w:p w:rsidR="00F27B03" w:rsidRPr="006F67E8" w:rsidRDefault="00F27B03" w:rsidP="006F67E8">
      <w:pPr>
        <w:spacing w:after="0"/>
        <w:rPr>
          <w:rFonts w:ascii="Times New Roman" w:hAnsi="Times New Roman"/>
          <w:sz w:val="24"/>
          <w:szCs w:val="24"/>
          <w:lang w:eastAsia="cs-CZ"/>
        </w:rPr>
      </w:pPr>
    </w:p>
    <w:p w:rsidR="00F27B03" w:rsidRPr="006F67E8" w:rsidRDefault="008A6425" w:rsidP="006F67E8">
      <w:pPr>
        <w:spacing w:after="0"/>
        <w:rPr>
          <w:rFonts w:ascii="Times New Roman" w:hAnsi="Times New Roman"/>
          <w:sz w:val="24"/>
          <w:szCs w:val="24"/>
          <w:lang w:eastAsia="cs-CZ"/>
        </w:rPr>
      </w:pPr>
      <w:r>
        <w:rPr>
          <w:rFonts w:ascii="Times New Roman" w:hAnsi="Times New Roman"/>
          <w:noProof/>
          <w:sz w:val="24"/>
          <w:szCs w:val="24"/>
          <w:lang w:eastAsia="cs-CZ"/>
        </w:rPr>
        <w:drawing>
          <wp:inline distT="0" distB="0" distL="0" distR="0">
            <wp:extent cx="6037580" cy="3670935"/>
            <wp:effectExtent l="0" t="0" r="127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580" cy="3670935"/>
                    </a:xfrm>
                    <a:prstGeom prst="rect">
                      <a:avLst/>
                    </a:prstGeom>
                    <a:noFill/>
                    <a:ln>
                      <a:noFill/>
                    </a:ln>
                  </pic:spPr>
                </pic:pic>
              </a:graphicData>
            </a:graphic>
          </wp:inline>
        </w:drawing>
      </w:r>
    </w:p>
    <w:p w:rsidR="00F27B03" w:rsidRPr="006F67E8" w:rsidRDefault="00F27B03" w:rsidP="006F67E8">
      <w:pPr>
        <w:spacing w:after="0"/>
        <w:ind w:firstLine="708"/>
        <w:rPr>
          <w:rFonts w:ascii="Times New Roman" w:hAnsi="Times New Roman"/>
          <w:sz w:val="24"/>
          <w:szCs w:val="24"/>
          <w:lang w:eastAsia="cs-CZ"/>
        </w:rPr>
      </w:pP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prosinci roku 2014 byly Auditním orgánem postoupeny Evropské komisi jednotlivé </w:t>
      </w:r>
      <w:r w:rsidRPr="006F67E8">
        <w:rPr>
          <w:rFonts w:ascii="Times New Roman" w:hAnsi="Times New Roman"/>
          <w:b/>
          <w:sz w:val="24"/>
          <w:szCs w:val="24"/>
          <w:lang w:eastAsia="cs-CZ"/>
        </w:rPr>
        <w:t>výroční kontrolní zprávy za rok 2014</w:t>
      </w:r>
      <w:r w:rsidRPr="006F67E8">
        <w:rPr>
          <w:rFonts w:ascii="Times New Roman" w:hAnsi="Times New Roman"/>
          <w:sz w:val="24"/>
          <w:szCs w:val="24"/>
          <w:lang w:eastAsia="cs-CZ"/>
        </w:rPr>
        <w:t xml:space="preserve"> (období 1. červenec 2013 - 30. červen 2014) se stanoviskem o funkčnosti řídících a kontrolních systémů příslušných operačních programů.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Stanovisko bez výhrad bylo vydáno u 5 operačních programů z 19 operačních programů (Operační program Technická pomoc, Operační program přeshraniční spolupráce Česká republika – Polská republika, Operační program Praha – Adaptabilita, Operační program Lidské zdroje a zaměstnanost, Regionální operační program Jihovýchod).</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Stanovisko s výhradou bylo vydáno pro 14 operačních programů z 19 operačních programů (Operační program Podnikání a inovace, Operační program Doprava, Operační program Životní prostředí, Operační program výzkum a vývoj pro inovace, Integrovaný operační program, Operační program Vzdělávání pro konkurenceschopnost, Operační program Praha - Konkurenceschopnost, Regionální operační program Moravskoslezsko, Regionální operační program Střední Čechy, Regionální operační program Severovýchod, Regionální operační program Jihozápad, Regionální operační program Severozápad, Regionální operační program Severovýchod, Operační program Rybářství).</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Stanovisko s výhradou bylo konstatováno s ohledem na i nadále nedostatečnou funkčnost ŘKS (závěry auditů systémů, vysoká chybovost) příslušných OP, zejména přetrvává negativní hodnocení oblasti administrace veřejných zakázek u projektů a</w:t>
      </w:r>
      <w:r>
        <w:rPr>
          <w:rFonts w:ascii="Times New Roman" w:hAnsi="Times New Roman"/>
          <w:sz w:val="24"/>
          <w:szCs w:val="24"/>
          <w:lang w:eastAsia="cs-CZ"/>
        </w:rPr>
        <w:t> </w:t>
      </w:r>
      <w:r w:rsidRPr="006F67E8">
        <w:rPr>
          <w:rFonts w:ascii="Times New Roman" w:hAnsi="Times New Roman"/>
          <w:sz w:val="24"/>
          <w:szCs w:val="24"/>
          <w:lang w:eastAsia="cs-CZ"/>
        </w:rPr>
        <w:t>identifikac</w:t>
      </w:r>
      <w:r>
        <w:rPr>
          <w:rFonts w:ascii="Times New Roman" w:hAnsi="Times New Roman"/>
          <w:sz w:val="24"/>
          <w:szCs w:val="24"/>
          <w:lang w:eastAsia="cs-CZ"/>
        </w:rPr>
        <w:t>e</w:t>
      </w:r>
      <w:r w:rsidRPr="006F67E8">
        <w:rPr>
          <w:rFonts w:ascii="Times New Roman" w:hAnsi="Times New Roman"/>
          <w:sz w:val="24"/>
          <w:szCs w:val="24"/>
          <w:lang w:eastAsia="cs-CZ"/>
        </w:rPr>
        <w:t xml:space="preserve"> nezpůsobilých výdajů. Na základě provedené auditní činnosti AO řídící orgány přijímají k auditům systému akční plány, které podchycují kroky k eliminaci nedostatků a</w:t>
      </w:r>
      <w:r>
        <w:rPr>
          <w:rFonts w:ascii="Times New Roman" w:hAnsi="Times New Roman"/>
          <w:sz w:val="24"/>
          <w:szCs w:val="24"/>
          <w:lang w:eastAsia="cs-CZ"/>
        </w:rPr>
        <w:t> </w:t>
      </w:r>
      <w:r w:rsidRPr="006F67E8">
        <w:rPr>
          <w:rFonts w:ascii="Times New Roman" w:hAnsi="Times New Roman"/>
          <w:sz w:val="24"/>
          <w:szCs w:val="24"/>
          <w:lang w:eastAsia="cs-CZ"/>
        </w:rPr>
        <w:t>reagují na doporučení auditu, včetně kroků ke snížení chybovosti operací pod přípustnou úroveň (2%).</w:t>
      </w:r>
    </w:p>
    <w:p w:rsidR="00F27B03" w:rsidRDefault="00F27B03" w:rsidP="008D6625">
      <w:pPr>
        <w:rPr>
          <w:rFonts w:ascii="Times New Roman" w:hAnsi="Times New Roman"/>
          <w:sz w:val="24"/>
          <w:szCs w:val="24"/>
          <w:lang w:eastAsia="cs-CZ"/>
        </w:rPr>
      </w:pPr>
    </w:p>
    <w:p w:rsidR="00F27B03" w:rsidRPr="006F67E8" w:rsidRDefault="00F27B03" w:rsidP="008D6625">
      <w:pPr>
        <w:rPr>
          <w:rFonts w:ascii="Times New Roman" w:hAnsi="Times New Roman"/>
          <w:b/>
          <w:sz w:val="24"/>
          <w:szCs w:val="24"/>
          <w:lang w:eastAsia="cs-CZ"/>
        </w:rPr>
      </w:pPr>
      <w:r w:rsidRPr="006F67E8">
        <w:rPr>
          <w:rFonts w:ascii="Times New Roman" w:hAnsi="Times New Roman"/>
          <w:b/>
          <w:sz w:val="24"/>
          <w:szCs w:val="24"/>
          <w:lang w:eastAsia="cs-CZ"/>
        </w:rPr>
        <w:t>Informace o provedených auditech systému horizontálních oblastí (týkajících více operačních programů)</w:t>
      </w:r>
      <w:r>
        <w:rPr>
          <w:rFonts w:ascii="Times New Roman" w:hAnsi="Times New Roman"/>
          <w:b/>
          <w:sz w:val="24"/>
          <w:szCs w:val="24"/>
          <w:lang w:eastAsia="cs-CZ"/>
        </w:rPr>
        <w:t xml:space="preserve">  </w:t>
      </w:r>
    </w:p>
    <w:p w:rsidR="00F27B03" w:rsidRDefault="00F27B03" w:rsidP="00C03E3A">
      <w:pPr>
        <w:spacing w:after="0"/>
        <w:ind w:firstLine="708"/>
        <w:rPr>
          <w:rFonts w:ascii="Times New Roman" w:hAnsi="Times New Roman"/>
          <w:b/>
          <w:sz w:val="24"/>
          <w:szCs w:val="24"/>
          <w:lang w:eastAsia="cs-CZ"/>
        </w:rPr>
      </w:pPr>
      <w:r>
        <w:rPr>
          <w:rFonts w:ascii="Times New Roman" w:hAnsi="Times New Roman"/>
          <w:sz w:val="24"/>
          <w:szCs w:val="24"/>
          <w:lang w:eastAsia="cs-CZ"/>
        </w:rPr>
        <w:t xml:space="preserve">Audit č. AO/2014/S/03 </w:t>
      </w:r>
      <w:r>
        <w:rPr>
          <w:rFonts w:ascii="Times New Roman" w:hAnsi="Times New Roman"/>
          <w:b/>
          <w:sz w:val="24"/>
          <w:szCs w:val="24"/>
          <w:lang w:eastAsia="cs-CZ"/>
        </w:rPr>
        <w:t>„Audit činnosti Generálního finančního ředitelství a Finančních úřadů v rámci řídicích a kontrolních systémů strukturálních fondů“</w:t>
      </w:r>
    </w:p>
    <w:p w:rsidR="00F27B03" w:rsidRDefault="00F27B03" w:rsidP="00C03E3A">
      <w:pPr>
        <w:spacing w:after="0"/>
        <w:ind w:firstLine="708"/>
        <w:rPr>
          <w:rFonts w:ascii="Times New Roman" w:hAnsi="Times New Roman"/>
          <w:sz w:val="24"/>
          <w:szCs w:val="24"/>
          <w:lang w:eastAsia="cs-CZ"/>
        </w:rPr>
      </w:pPr>
      <w:r>
        <w:rPr>
          <w:rFonts w:ascii="Times New Roman" w:hAnsi="Times New Roman"/>
          <w:sz w:val="24"/>
          <w:szCs w:val="24"/>
          <w:lang w:eastAsia="cs-CZ"/>
        </w:rPr>
        <w:t xml:space="preserve">Cílem horizontálního auditu systému č. AO/2014/S/03 </w:t>
      </w:r>
      <w:r>
        <w:rPr>
          <w:rFonts w:ascii="Times New Roman" w:hAnsi="Times New Roman"/>
          <w:b/>
          <w:sz w:val="24"/>
          <w:szCs w:val="24"/>
          <w:lang w:eastAsia="cs-CZ"/>
        </w:rPr>
        <w:t>„Audit činnosti Generálního finančního ředitelství a Finančních úřadů v rámci řídicích a kontrolních systémů strukturálních fondů“</w:t>
      </w:r>
      <w:r>
        <w:rPr>
          <w:rFonts w:ascii="Times New Roman" w:hAnsi="Times New Roman"/>
          <w:sz w:val="24"/>
          <w:szCs w:val="24"/>
          <w:lang w:eastAsia="cs-CZ"/>
        </w:rPr>
        <w:t xml:space="preserve"> bylo ověřit efektivitu fungování Generálního finančního ředitelství a dalších orgánů finanční správy v rámci implementační struktury operačních programů programového období 2007 – 2013 (na základě ustanovení Metodiky finančních toků a kontroly programů spolufinancovaných ze strukturálních fondů, Fondu soudržnosti a Evropského rybářského fondu na programové období 2007-2013, GFŘ a OFS v rámci implementační struktury operačních programů EU vykonávají činnosti ve věci porušení rozpočtové kázně podle zákona č. 218/2000 Sb. a zákona č. 280/2009 Sb.).</w:t>
      </w:r>
    </w:p>
    <w:p w:rsidR="00F27B03" w:rsidRDefault="00F27B03" w:rsidP="00C03E3A">
      <w:pPr>
        <w:spacing w:after="0"/>
        <w:ind w:firstLine="708"/>
        <w:rPr>
          <w:rFonts w:ascii="Times New Roman" w:hAnsi="Times New Roman"/>
          <w:sz w:val="24"/>
          <w:szCs w:val="24"/>
          <w:lang w:eastAsia="cs-CZ"/>
        </w:rPr>
      </w:pPr>
      <w:r>
        <w:rPr>
          <w:rFonts w:ascii="Times New Roman" w:hAnsi="Times New Roman"/>
          <w:sz w:val="24"/>
          <w:szCs w:val="24"/>
          <w:lang w:eastAsia="cs-CZ"/>
        </w:rPr>
        <w:lastRenderedPageBreak/>
        <w:t xml:space="preserve">V průběhu auditu bylo identifikováno celkem 8 zjištění, z toho 4 zjištění s vysokou mírou závažnosti (nedostatečný přenos informací mezi OFS a poskytovateli dotací, nedostatečné proškolení zaměstnanců, odlišnosti mezi závěry daňových kontrol a podněty a nedodržení lhůt stanovených pokyny MFTK a GFŘ), 1 zjištění se střední mírou závažnosti (překročení lhůty při výkonu daňové kontroly při společném šetření jinými kontrolními orgány – ÚOHS, NKÚ, EÚD atd.) a 3 zjištění s nízkou mírou závažnosti. </w:t>
      </w:r>
    </w:p>
    <w:p w:rsidR="00F27B03" w:rsidRDefault="00F27B03" w:rsidP="00C03E3A">
      <w:pPr>
        <w:spacing w:after="0"/>
        <w:ind w:firstLine="708"/>
        <w:rPr>
          <w:rFonts w:ascii="Times New Roman" w:hAnsi="Times New Roman"/>
          <w:sz w:val="24"/>
          <w:szCs w:val="24"/>
          <w:lang w:eastAsia="cs-CZ"/>
        </w:rPr>
      </w:pPr>
      <w:r>
        <w:rPr>
          <w:rFonts w:ascii="Times New Roman" w:hAnsi="Times New Roman"/>
          <w:sz w:val="24"/>
          <w:szCs w:val="24"/>
          <w:lang w:eastAsia="cs-CZ"/>
        </w:rPr>
        <w:t xml:space="preserve">Byly zjištěny nedostatky, které vedly nebo by mohly vést k zatížení státního rozpočtu. </w:t>
      </w:r>
      <w:r>
        <w:rPr>
          <w:rFonts w:ascii="Times New Roman" w:hAnsi="Times New Roman"/>
          <w:sz w:val="24"/>
          <w:szCs w:val="24"/>
        </w:rPr>
        <w:t xml:space="preserve">Ve vztahu ke zjištěným nedostatkům byla OFS bezprostředně po ukončení auditu přijata nápravná opatření, která nedostatky podstatným způsobem eliminují a </w:t>
      </w:r>
      <w:r>
        <w:rPr>
          <w:rFonts w:ascii="Times New Roman" w:hAnsi="Times New Roman"/>
          <w:bCs/>
          <w:sz w:val="24"/>
          <w:szCs w:val="24"/>
        </w:rPr>
        <w:t xml:space="preserve">auditním orgánem byla vyhodnocena jako </w:t>
      </w:r>
      <w:r w:rsidRPr="00436936">
        <w:rPr>
          <w:rFonts w:ascii="Times New Roman" w:hAnsi="Times New Roman"/>
          <w:bCs/>
          <w:sz w:val="24"/>
          <w:szCs w:val="24"/>
        </w:rPr>
        <w:t>adekvátní</w:t>
      </w:r>
      <w:r>
        <w:rPr>
          <w:rFonts w:ascii="Times New Roman" w:hAnsi="Times New Roman"/>
          <w:bCs/>
          <w:sz w:val="24"/>
          <w:szCs w:val="24"/>
        </w:rPr>
        <w:t xml:space="preserve">. </w:t>
      </w:r>
      <w:r>
        <w:rPr>
          <w:rFonts w:ascii="Times New Roman" w:hAnsi="Times New Roman"/>
          <w:sz w:val="24"/>
          <w:szCs w:val="24"/>
          <w:lang w:eastAsia="cs-CZ"/>
        </w:rPr>
        <w:t xml:space="preserve">Vzhledem k přijatým opatřením ze strany České republiky není přímý negativní dopad na hodnocení řídícího kontrolního systému zmíněných operačních programů z důvodu rozdílného hodnocení nesrovnalosti ze strany Auditního orgánu nebo Řídícího orgánu na jedné straně a orgány finanční správy na straně druhé.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Cílem dalšího auditu systému s názvem </w:t>
      </w:r>
      <w:r w:rsidRPr="006F67E8">
        <w:rPr>
          <w:rFonts w:ascii="Times New Roman" w:hAnsi="Times New Roman"/>
          <w:b/>
          <w:sz w:val="24"/>
          <w:szCs w:val="24"/>
          <w:lang w:eastAsia="cs-CZ"/>
        </w:rPr>
        <w:t>„Audit činnosti odboru 12 Ministerstva financí v rámci řídících a kontrolních systémů strukturálních fondů“</w:t>
      </w:r>
      <w:r w:rsidRPr="006F67E8">
        <w:rPr>
          <w:rFonts w:ascii="Times New Roman" w:hAnsi="Times New Roman"/>
          <w:sz w:val="24"/>
          <w:szCs w:val="24"/>
          <w:lang w:eastAsia="cs-CZ"/>
        </w:rPr>
        <w:t xml:space="preserve"> č. AO/2014/S/04 (týká se regionálních operačních programů, OP Praha Adaptabilita, OP Praha Konkurenceschopnost, OP </w:t>
      </w:r>
      <w:r>
        <w:rPr>
          <w:rFonts w:ascii="Times New Roman" w:hAnsi="Times New Roman"/>
          <w:sz w:val="24"/>
          <w:szCs w:val="24"/>
          <w:lang w:eastAsia="cs-CZ"/>
        </w:rPr>
        <w:t>V</w:t>
      </w:r>
      <w:r w:rsidRPr="006F67E8">
        <w:rPr>
          <w:rFonts w:ascii="Times New Roman" w:hAnsi="Times New Roman"/>
          <w:sz w:val="24"/>
          <w:szCs w:val="24"/>
          <w:lang w:eastAsia="cs-CZ"/>
        </w:rPr>
        <w:t>zdělávání pro konkurenceschopnost) bylo ověřit účinné fungování řídícího a kontrolního systému Ministerstva financí - odboru 12 a prověřit soulad s</w:t>
      </w:r>
      <w:r>
        <w:rPr>
          <w:rFonts w:ascii="Times New Roman" w:hAnsi="Times New Roman"/>
          <w:sz w:val="24"/>
          <w:szCs w:val="24"/>
          <w:lang w:eastAsia="cs-CZ"/>
        </w:rPr>
        <w:t> </w:t>
      </w:r>
      <w:r w:rsidRPr="006F67E8">
        <w:rPr>
          <w:rFonts w:ascii="Times New Roman" w:hAnsi="Times New Roman"/>
          <w:sz w:val="24"/>
          <w:szCs w:val="24"/>
          <w:lang w:eastAsia="cs-CZ"/>
        </w:rPr>
        <w:t>požadavky použitelného právního rámce pro programové období 2007-2013.</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Během auditu bylo identifikováno 1 zjištění s vysokou mírou závažnosti. Zjištěný nedostatek se týká nedodržování nastavených lhůt pro vyřizování odvolání z důvodu nedostatečného zabezpečení činnosti odvolacího orgánu v oblasti administrativní kapacity. Nedostatek může mít vliv na reálné nevyužití finančních prostředků u jednotlivých operačních programů.</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Cílem auditu systému číslo AO/2014/AS/02 </w:t>
      </w:r>
      <w:r w:rsidRPr="006F67E8">
        <w:rPr>
          <w:rFonts w:ascii="Times New Roman" w:hAnsi="Times New Roman"/>
          <w:b/>
          <w:sz w:val="24"/>
          <w:szCs w:val="24"/>
          <w:lang w:eastAsia="cs-CZ"/>
        </w:rPr>
        <w:t>„Audit činnosti Platebního a</w:t>
      </w:r>
      <w:r>
        <w:rPr>
          <w:rFonts w:ascii="Times New Roman" w:hAnsi="Times New Roman"/>
          <w:b/>
          <w:sz w:val="24"/>
          <w:szCs w:val="24"/>
          <w:lang w:eastAsia="cs-CZ"/>
        </w:rPr>
        <w:t> </w:t>
      </w:r>
      <w:r w:rsidRPr="006F67E8">
        <w:rPr>
          <w:rFonts w:ascii="Times New Roman" w:hAnsi="Times New Roman"/>
          <w:b/>
          <w:sz w:val="24"/>
          <w:szCs w:val="24"/>
          <w:lang w:eastAsia="cs-CZ"/>
        </w:rPr>
        <w:t>certifikačního orgánu“</w:t>
      </w:r>
      <w:r w:rsidRPr="006F67E8">
        <w:rPr>
          <w:rFonts w:ascii="Times New Roman" w:hAnsi="Times New Roman"/>
          <w:sz w:val="24"/>
          <w:szCs w:val="24"/>
          <w:lang w:eastAsia="cs-CZ"/>
        </w:rPr>
        <w:t xml:space="preserve"> bylo ověřit účinné fungování řídícího a kontrolního systému jednotlivých operačních programů u auditovaného subjektu, Odboru 55 – Národní fond, vykonávajícího funkci Platebního a certifikační</w:t>
      </w:r>
      <w:r>
        <w:rPr>
          <w:rFonts w:ascii="Times New Roman" w:hAnsi="Times New Roman"/>
          <w:sz w:val="24"/>
          <w:szCs w:val="24"/>
          <w:lang w:eastAsia="cs-CZ"/>
        </w:rPr>
        <w:t>ho</w:t>
      </w:r>
      <w:r w:rsidRPr="006F67E8">
        <w:rPr>
          <w:rFonts w:ascii="Times New Roman" w:hAnsi="Times New Roman"/>
          <w:sz w:val="24"/>
          <w:szCs w:val="24"/>
          <w:lang w:eastAsia="cs-CZ"/>
        </w:rPr>
        <w:t xml:space="preserve"> orgánu (dále také „PCO“) a prověřit soulad s</w:t>
      </w:r>
      <w:r>
        <w:rPr>
          <w:rFonts w:ascii="Times New Roman" w:hAnsi="Times New Roman"/>
          <w:sz w:val="24"/>
          <w:szCs w:val="24"/>
          <w:lang w:eastAsia="cs-CZ"/>
        </w:rPr>
        <w:t> </w:t>
      </w:r>
      <w:r w:rsidRPr="006F67E8">
        <w:rPr>
          <w:rFonts w:ascii="Times New Roman" w:hAnsi="Times New Roman"/>
          <w:sz w:val="24"/>
          <w:szCs w:val="24"/>
          <w:lang w:eastAsia="cs-CZ"/>
        </w:rPr>
        <w:t>požadavky použitelného právního rámce pro programové období 2007-2013.</w:t>
      </w:r>
    </w:p>
    <w:p w:rsidR="00F27B03" w:rsidRPr="006F67E8" w:rsidRDefault="00F27B03" w:rsidP="006F67E8">
      <w:pPr>
        <w:spacing w:after="0"/>
        <w:rPr>
          <w:rFonts w:ascii="Times New Roman" w:hAnsi="Times New Roman"/>
          <w:sz w:val="24"/>
          <w:szCs w:val="24"/>
          <w:lang w:eastAsia="cs-CZ"/>
        </w:rPr>
      </w:pPr>
      <w:r w:rsidRPr="006F67E8">
        <w:rPr>
          <w:rFonts w:ascii="Times New Roman" w:hAnsi="Times New Roman"/>
          <w:sz w:val="24"/>
          <w:szCs w:val="24"/>
          <w:lang w:eastAsia="cs-CZ"/>
        </w:rPr>
        <w:t>Celkové hodnocení bylo v Kategorii 2 -  Systém funguje, ale jsou třeba určitá zlepšení.</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Auditorský tým doporuč</w:t>
      </w:r>
      <w:r>
        <w:rPr>
          <w:rFonts w:ascii="Times New Roman" w:hAnsi="Times New Roman"/>
          <w:sz w:val="24"/>
          <w:szCs w:val="24"/>
          <w:lang w:eastAsia="cs-CZ"/>
        </w:rPr>
        <w:t>il</w:t>
      </w:r>
      <w:r w:rsidRPr="006F67E8">
        <w:rPr>
          <w:rFonts w:ascii="Times New Roman" w:hAnsi="Times New Roman"/>
          <w:sz w:val="24"/>
          <w:szCs w:val="24"/>
          <w:lang w:eastAsia="cs-CZ"/>
        </w:rPr>
        <w:t xml:space="preserve"> provést zlepšení v následujících oblastech: metodické ošetření využívání tzv. „flexibilního modelu financování“ respektive využití přebytku národních veřejných prostředků nad rámec povinné míry národního veřejného spolufinancování, dodržování plánu kontrol u ŘO, případně ZS, a metodické ošetření postupu </w:t>
      </w:r>
      <w:r w:rsidRPr="006F67E8">
        <w:rPr>
          <w:rFonts w:ascii="Times New Roman" w:hAnsi="Times New Roman"/>
          <w:sz w:val="24"/>
          <w:szCs w:val="24"/>
          <w:lang w:eastAsia="cs-CZ"/>
        </w:rPr>
        <w:lastRenderedPageBreak/>
        <w:t xml:space="preserve">při uzavírání kontrolních protokolů. </w:t>
      </w:r>
      <w:r>
        <w:rPr>
          <w:rFonts w:ascii="Times New Roman" w:hAnsi="Times New Roman"/>
          <w:sz w:val="24"/>
          <w:szCs w:val="24"/>
          <w:lang w:eastAsia="cs-CZ"/>
        </w:rPr>
        <w:t>Platební a certifikační orgán jako auditovaný subjekt přijal v rámci akčního plánu opatření k doporučením.</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Cílem „</w:t>
      </w:r>
      <w:r w:rsidRPr="006F67E8">
        <w:rPr>
          <w:rFonts w:ascii="Times New Roman" w:hAnsi="Times New Roman"/>
          <w:b/>
          <w:sz w:val="24"/>
          <w:szCs w:val="24"/>
          <w:lang w:eastAsia="cs-CZ"/>
        </w:rPr>
        <w:t>Následného auditu IT systému</w:t>
      </w:r>
      <w:r w:rsidRPr="006F67E8">
        <w:rPr>
          <w:rFonts w:ascii="Times New Roman" w:hAnsi="Times New Roman"/>
          <w:sz w:val="24"/>
          <w:szCs w:val="24"/>
          <w:lang w:eastAsia="cs-CZ"/>
        </w:rPr>
        <w:t>“ bylo ověřit plnění opatření k nápravě u</w:t>
      </w:r>
      <w:r>
        <w:rPr>
          <w:rFonts w:ascii="Times New Roman" w:hAnsi="Times New Roman"/>
          <w:sz w:val="24"/>
          <w:szCs w:val="24"/>
          <w:lang w:eastAsia="cs-CZ"/>
        </w:rPr>
        <w:t> </w:t>
      </w:r>
      <w:r w:rsidRPr="006F67E8">
        <w:rPr>
          <w:rFonts w:ascii="Times New Roman" w:hAnsi="Times New Roman"/>
          <w:sz w:val="24"/>
          <w:szCs w:val="24"/>
          <w:lang w:eastAsia="cs-CZ"/>
        </w:rPr>
        <w:t xml:space="preserve">zjištění identifikovaných v horizontálním auditu IT č. 451/10/SYS (16/2010/AO) – Audit monitorovacího systému SF a FS pro programové období 2007 - 2013, vykonaném dle plánu Auditního orgánu na rok 2010 v návaznosti na nedostatky identifikované při posuzování souladu v roce 2008 a 2009 především na úrovni celkové správy monitorovacího systému.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Konkrétně se jednalo o ověření plnění opatření k nápravě u 2 zjištění na úrovni celkové správy monitorovacího systému (se střední mírou závažnosti) a 166 zjištění na úrovni jednotlivých auditovaných subjektů (z toho 5 zjištění s vysokou mírou závažnosti, 87 zjištění se střední mírou závažnosti a 74 zjištění s nízkou mírou závažnosti), která by mohla mít vliv na ohrožení integrity a bezpečnosti monitorovacího systému.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Auditní práce byly realizovány u subjektů implementační struktury zapojených do čerpání prostředků FS a SF. Současný stav plnění opatření k nápravě u zjištění z výše uvedeného auditu byl následně zapracován do jednotlivých Zpráv o následném auditu. Lze konstatovat, že ze 166 zjištění bylo zcela napraveno 89 zjištění, ostatní zjištění byla většinou napravena částečně a zůstávají nadále otevřena.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Evropské komisi byla postoupena Souhrnná zpráva, která obsahovala komplexní informace o výsledcích auditu souhrnně za všechny operační programy (kromě OP Rybářství) a auditované subjekty, resp. za systémy centrálně spravované - MSC2007, MONIT7+ a</w:t>
      </w:r>
      <w:r>
        <w:rPr>
          <w:rFonts w:ascii="Times New Roman" w:hAnsi="Times New Roman"/>
          <w:sz w:val="24"/>
          <w:szCs w:val="24"/>
          <w:lang w:eastAsia="cs-CZ"/>
        </w:rPr>
        <w:t> </w:t>
      </w:r>
      <w:r w:rsidRPr="006F67E8">
        <w:rPr>
          <w:rFonts w:ascii="Times New Roman" w:hAnsi="Times New Roman"/>
          <w:sz w:val="24"/>
          <w:szCs w:val="24"/>
          <w:lang w:eastAsia="cs-CZ"/>
        </w:rPr>
        <w:t xml:space="preserve">Benefit7 i za decentralizované systémy. Mezi decentralizované systémy patří zejména systémy IS OPŽP a Bene-fill (provozované na Ministerstvu životního prostředí a Státním fondu životního prostředí), systémy ISOP7-13 a e-Account provozované pro Ministerstvo průmyslu a obchodu Agenturou pro podporu podnikání a investic CzechInvest, systém IS Viola provozovaný Ministerstvem financí a také manažerské informační systémy provozované na některých regionálních operačních programech pro programové období </w:t>
      </w:r>
      <w:r>
        <w:rPr>
          <w:rFonts w:ascii="Times New Roman" w:hAnsi="Times New Roman"/>
          <w:sz w:val="24"/>
          <w:szCs w:val="24"/>
          <w:lang w:eastAsia="cs-CZ"/>
        </w:rPr>
        <w:br/>
      </w:r>
      <w:r w:rsidRPr="006F67E8">
        <w:rPr>
          <w:rFonts w:ascii="Times New Roman" w:hAnsi="Times New Roman"/>
          <w:sz w:val="24"/>
          <w:szCs w:val="24"/>
          <w:lang w:eastAsia="cs-CZ"/>
        </w:rPr>
        <w:t xml:space="preserve">2007 – 2013.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rámci ověření zjištění na úrovni celkové správy monitorovacího systému bylo třeba provést ještě rozšíření auditu o zpracování sumarizace předpokládaných nákladů za období 2014</w:t>
      </w:r>
      <w:r>
        <w:rPr>
          <w:rFonts w:ascii="Times New Roman" w:hAnsi="Times New Roman"/>
          <w:sz w:val="24"/>
          <w:szCs w:val="24"/>
          <w:lang w:eastAsia="cs-CZ"/>
        </w:rPr>
        <w:t xml:space="preserve"> </w:t>
      </w:r>
      <w:r w:rsidRPr="006F67E8">
        <w:rPr>
          <w:rFonts w:ascii="Times New Roman" w:hAnsi="Times New Roman"/>
          <w:sz w:val="24"/>
          <w:szCs w:val="24"/>
          <w:lang w:eastAsia="cs-CZ"/>
        </w:rPr>
        <w:t>–</w:t>
      </w:r>
      <w:r>
        <w:rPr>
          <w:rFonts w:ascii="Times New Roman" w:hAnsi="Times New Roman"/>
          <w:sz w:val="24"/>
          <w:szCs w:val="24"/>
          <w:lang w:eastAsia="cs-CZ"/>
        </w:rPr>
        <w:t xml:space="preserve"> </w:t>
      </w:r>
      <w:r w:rsidRPr="006F67E8">
        <w:rPr>
          <w:rFonts w:ascii="Times New Roman" w:hAnsi="Times New Roman"/>
          <w:sz w:val="24"/>
          <w:szCs w:val="24"/>
          <w:lang w:eastAsia="cs-CZ"/>
        </w:rPr>
        <w:t xml:space="preserve">2020 na pořízení a provoz informačních systémů v období 2014-2020 a na provoz informačních systémů pro implementaci SF a FS pořízených pro období 2007 – 2013 provozovaných v letech 2014 – 2021. </w:t>
      </w:r>
    </w:p>
    <w:p w:rsidR="00F27B03" w:rsidRDefault="00F27B03" w:rsidP="009761CF">
      <w:pPr>
        <w:spacing w:after="0"/>
        <w:rPr>
          <w:rFonts w:ascii="Times New Roman" w:hAnsi="Times New Roman"/>
          <w:sz w:val="24"/>
          <w:szCs w:val="24"/>
          <w:lang w:eastAsia="cs-CZ"/>
        </w:rPr>
      </w:pPr>
    </w:p>
    <w:p w:rsidR="00F27B03" w:rsidRPr="006F67E8" w:rsidRDefault="00F27B03" w:rsidP="009761CF">
      <w:pPr>
        <w:spacing w:after="0"/>
        <w:rPr>
          <w:rFonts w:ascii="Times New Roman" w:hAnsi="Times New Roman"/>
          <w:sz w:val="24"/>
          <w:szCs w:val="24"/>
          <w:lang w:eastAsia="cs-CZ"/>
        </w:rPr>
      </w:pPr>
    </w:p>
    <w:p w:rsidR="00F27B03" w:rsidRPr="00A12A7E" w:rsidRDefault="00F27B03" w:rsidP="007D55F3">
      <w:pPr>
        <w:rPr>
          <w:rFonts w:ascii="Times New Roman" w:hAnsi="Times New Roman"/>
          <w:b/>
          <w:sz w:val="24"/>
          <w:szCs w:val="24"/>
          <w:lang w:eastAsia="cs-CZ"/>
        </w:rPr>
      </w:pPr>
      <w:r>
        <w:rPr>
          <w:rFonts w:ascii="Times New Roman" w:hAnsi="Times New Roman"/>
          <w:b/>
          <w:sz w:val="24"/>
          <w:szCs w:val="24"/>
          <w:lang w:eastAsia="cs-CZ"/>
        </w:rPr>
        <w:lastRenderedPageBreak/>
        <w:t>Další informace</w:t>
      </w:r>
    </w:p>
    <w:p w:rsidR="00F27B03" w:rsidRPr="006F67E8" w:rsidRDefault="00F27B03" w:rsidP="00FC50F0">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průběhu roku 2014 byla problematika čerpání prostředků Evropské unie v ČR opakovaně projednávána na zasedáních vlády.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Rizika pro finanční prostředky Evropské unie nebo pro správné fungování systému s ohledem na změny jsou průběžně monitorována a jsou předmětem prováděných auditů. </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Co se týče závažných zjištění, byla v roce 2014 znovu problematická oblast administrace veřejných zakázek. V rámci problematiky veřejných zakázek byly identifikovány tyto nedostatky: porušení transparentnosti, rovného zacházení, zákazu diskriminace či zákazu omezení účasti v zadávacím řízení výběrového řízení, slučování předmětu veřejných zakázek, porušení limitů pro veřejné zakázky, nezveřejnění předběžného oznámení, neadekvátní či nefunkční profil zadavatele veřejných zakázek, nedodržení lhůt v zadávacím řízení, nedostatky zadávací dokumentace, nedostatky nabídky a jejích náležitostí, nedostatky otevírání obálek, nedostatky hodnotící komise, nedostatky uzavření smlouvy, nedostatky uveřejňování.</w:t>
      </w:r>
    </w:p>
    <w:p w:rsidR="00F27B03"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Dále byly v roce 2014 identifikovány tyto nedostatky: neúplné faktury, nevedení odděleného účetnictví, nedostatečná inventarizace majetku, chybné účtování DPH, neúplná evidence dlouhodobého majetku, nedostatečně zajištěná publicita, nezajištěná publicita na domovských stránkách žadatele, použití neplatných formulářů, čerpání vyšší částky dotace, než která byla uvedena ve smlouvě, nedoložení řádných dokumentů ani faktur, neúplné pracovní smlouvy, nedostatečná kontrola ze strany řídícího orgánu nebo zprostředkujícího subjektu, nedodržování postupů při administraci projektu, porušení nebo nerespektování smluvních podmínek.</w:t>
      </w:r>
      <w:r w:rsidRPr="00E61422">
        <w:rPr>
          <w:rFonts w:ascii="Times New Roman" w:hAnsi="Times New Roman"/>
          <w:sz w:val="24"/>
          <w:szCs w:val="24"/>
          <w:lang w:eastAsia="cs-CZ"/>
        </w:rPr>
        <w:t xml:space="preserve"> </w:t>
      </w:r>
    </w:p>
    <w:p w:rsidR="00F27B03"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Jedním z dalších požadavků tzv. Akčního plánu ke zlepšení řídícího a kontrolního systému pro strukturální fondy v ČR z roku 2012 mělo být </w:t>
      </w:r>
      <w:r w:rsidRPr="006F67E8">
        <w:rPr>
          <w:rFonts w:ascii="Times New Roman" w:hAnsi="Times New Roman"/>
          <w:b/>
          <w:sz w:val="24"/>
          <w:szCs w:val="24"/>
          <w:lang w:eastAsia="cs-CZ"/>
        </w:rPr>
        <w:t>zabránění bezdůvodnému zpožďování ve zpětném vymáhání částek zasažených nesrovnalostí</w:t>
      </w:r>
      <w:r w:rsidRPr="006F67E8">
        <w:rPr>
          <w:rFonts w:ascii="Times New Roman" w:hAnsi="Times New Roman"/>
          <w:sz w:val="24"/>
          <w:szCs w:val="24"/>
          <w:lang w:eastAsia="cs-CZ"/>
        </w:rPr>
        <w:t xml:space="preserve"> (ve smyslu čl. 80 odst. 3 nařízení č. 966/2012 ve vazbě na čl. 58 písm. h</w:t>
      </w:r>
      <w:r>
        <w:rPr>
          <w:rFonts w:ascii="Times New Roman" w:hAnsi="Times New Roman"/>
          <w:sz w:val="24"/>
          <w:szCs w:val="24"/>
          <w:lang w:eastAsia="cs-CZ"/>
        </w:rPr>
        <w:t>)</w:t>
      </w:r>
      <w:r w:rsidRPr="006F67E8">
        <w:rPr>
          <w:rFonts w:ascii="Times New Roman" w:hAnsi="Times New Roman"/>
          <w:sz w:val="24"/>
          <w:szCs w:val="24"/>
          <w:lang w:eastAsia="cs-CZ"/>
        </w:rPr>
        <w:t xml:space="preserve">, </w:t>
      </w:r>
      <w:r>
        <w:rPr>
          <w:rFonts w:ascii="Times New Roman" w:hAnsi="Times New Roman"/>
          <w:sz w:val="24"/>
          <w:szCs w:val="24"/>
          <w:lang w:eastAsia="cs-CZ"/>
        </w:rPr>
        <w:t xml:space="preserve">čl. </w:t>
      </w:r>
      <w:r w:rsidRPr="006F67E8">
        <w:rPr>
          <w:rFonts w:ascii="Times New Roman" w:hAnsi="Times New Roman"/>
          <w:sz w:val="24"/>
          <w:szCs w:val="24"/>
          <w:lang w:eastAsia="cs-CZ"/>
        </w:rPr>
        <w:t xml:space="preserve">62, 70, 98 a 101 nařízení č. 1083/2006). Zpětné vymáhání takto zasažených částek a jejich vyjmutí z výkazu výdajů by dle požadavku Evropské komise mělo být zahájeno bezprostředně poté, co byla nesrovnalost potvrzena kompetentním orgánem, kterému byla tato zodpovědnost přiznána. Celkově by celý proces neměl trvat déle než šest měsíců. Řídicí orgány operačních programů v programovém období 2007 – 2013 však nevymáhaly prostředky dotčené nesrovnalostmi, čímž mohlo docházet k rozdílům mezi vyhodnocením nesrovnalosti ze strany příslušných orgánů v rámci implementační struktury a vyhodnocením nesrovnalosti ze strany správce daně. </w:t>
      </w:r>
      <w:r>
        <w:rPr>
          <w:rFonts w:ascii="Times New Roman" w:hAnsi="Times New Roman"/>
          <w:sz w:val="24"/>
          <w:szCs w:val="24"/>
          <w:lang w:eastAsia="cs-CZ"/>
        </w:rPr>
        <w:t xml:space="preserve">V tomto </w:t>
      </w:r>
      <w:r>
        <w:rPr>
          <w:rFonts w:ascii="Times New Roman" w:hAnsi="Times New Roman"/>
          <w:sz w:val="24"/>
          <w:szCs w:val="24"/>
          <w:lang w:eastAsia="cs-CZ"/>
        </w:rPr>
        <w:lastRenderedPageBreak/>
        <w:t xml:space="preserve">smyslu </w:t>
      </w:r>
      <w:r w:rsidRPr="00F00E95">
        <w:rPr>
          <w:rFonts w:ascii="Times New Roman" w:hAnsi="Times New Roman"/>
          <w:sz w:val="24"/>
          <w:szCs w:val="24"/>
          <w:lang w:eastAsia="cs-CZ"/>
        </w:rPr>
        <w:t>Platební a certifikační orgán naplnil výše uvedený požadavek Evropské komise provedením aktualizace Metodiky finančních toků a kontroly programů spolufinancovaných ze strukturálních fondů</w:t>
      </w:r>
      <w:r>
        <w:rPr>
          <w:rFonts w:ascii="Times New Roman" w:hAnsi="Times New Roman"/>
          <w:sz w:val="24"/>
          <w:szCs w:val="24"/>
          <w:lang w:eastAsia="cs-CZ"/>
        </w:rPr>
        <w:t xml:space="preserve">, Fondu soudržnosti a Evropského rybářského fondu na programové období 2007 – 2013 k 1. dubnu 2014, přičemž Ministerstvo financí připravilo legislativní kroky, které by zvýšily efektivitu vymáhání částek zasažených nesrovnalostmi (novela zákona č. 218/2000 Sb., o rozpočtových pravidlech a o změně některých zákonů, novela zákona č. 250/2000 Sb., o rozpočtových pravidlech územních rozpočtů, návrh zákona o vnitřním řízení a kontrole). </w:t>
      </w:r>
    </w:p>
    <w:p w:rsidR="00F27B03" w:rsidRPr="006F67E8" w:rsidRDefault="00F27B03" w:rsidP="006F67E8">
      <w:pPr>
        <w:spacing w:after="0"/>
        <w:rPr>
          <w:rFonts w:ascii="Times New Roman" w:hAnsi="Times New Roman"/>
          <w:sz w:val="24"/>
          <w:szCs w:val="24"/>
          <w:lang w:eastAsia="cs-CZ"/>
        </w:rPr>
      </w:pPr>
    </w:p>
    <w:p w:rsidR="00F27B03" w:rsidRPr="00A12A7E" w:rsidRDefault="00F27B03" w:rsidP="007D55F3">
      <w:pPr>
        <w:rPr>
          <w:rFonts w:ascii="Times New Roman" w:hAnsi="Times New Roman"/>
          <w:b/>
          <w:sz w:val="24"/>
          <w:szCs w:val="24"/>
          <w:lang w:eastAsia="cs-CZ"/>
        </w:rPr>
      </w:pPr>
      <w:r>
        <w:rPr>
          <w:rFonts w:ascii="Times New Roman" w:hAnsi="Times New Roman"/>
          <w:b/>
          <w:sz w:val="24"/>
          <w:szCs w:val="24"/>
          <w:lang w:eastAsia="cs-CZ"/>
        </w:rPr>
        <w:t>Programové období 2004 – 2006</w:t>
      </w:r>
    </w:p>
    <w:p w:rsidR="00F27B03" w:rsidRPr="006C6C69" w:rsidRDefault="00F27B03" w:rsidP="006C6C69">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Útvar pro winding-up v roce 2014 neprováděl již žádné kontroly u subjektů implementační struktury z důvodu uzavření programů ze strany Evropské komise. V roce 2014 rovněž útvar pro winding-up nezpracovával žádné Prohlášení při ukončení projektu ani Zprávu k prohlášení o ukončení projektu.</w:t>
      </w:r>
    </w:p>
    <w:p w:rsidR="00F27B03" w:rsidRDefault="00F27B03" w:rsidP="007D55F3">
      <w:pPr>
        <w:autoSpaceDE w:val="0"/>
        <w:autoSpaceDN w:val="0"/>
        <w:adjustRightInd w:val="0"/>
        <w:ind w:firstLine="709"/>
        <w:rPr>
          <w:rFonts w:ascii="Times New Roman" w:hAnsi="Times New Roman"/>
          <w:b/>
          <w:sz w:val="24"/>
          <w:szCs w:val="24"/>
          <w:lang w:eastAsia="cs-CZ"/>
        </w:rPr>
      </w:pPr>
    </w:p>
    <w:p w:rsidR="00F27B03" w:rsidRPr="006F67E8" w:rsidRDefault="00F27B03" w:rsidP="007D55F3">
      <w:pPr>
        <w:autoSpaceDE w:val="0"/>
        <w:autoSpaceDN w:val="0"/>
        <w:adjustRightInd w:val="0"/>
        <w:rPr>
          <w:rFonts w:ascii="Times New Roman" w:hAnsi="Times New Roman"/>
          <w:sz w:val="24"/>
          <w:szCs w:val="24"/>
          <w:lang w:eastAsia="cs-CZ"/>
        </w:rPr>
      </w:pPr>
      <w:r w:rsidRPr="006F67E8">
        <w:rPr>
          <w:rFonts w:ascii="Times New Roman" w:hAnsi="Times New Roman"/>
          <w:b/>
          <w:sz w:val="24"/>
          <w:szCs w:val="24"/>
          <w:lang w:eastAsia="cs-CZ"/>
        </w:rPr>
        <w:t>Programové období 2004 – 2006 a 2007 – 2013 – společná část</w:t>
      </w:r>
    </w:p>
    <w:p w:rsidR="00F27B03" w:rsidRPr="006F67E8" w:rsidRDefault="00F27B03" w:rsidP="00A821C2">
      <w:pPr>
        <w:autoSpaceDE w:val="0"/>
        <w:autoSpaceDN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Objem výchozích auditovaných prostředků za rok 2014, které byly Auditním orgánem vybrány </w:t>
      </w:r>
      <w:r w:rsidRPr="006F67E8">
        <w:rPr>
          <w:rFonts w:ascii="Times New Roman" w:hAnsi="Times New Roman"/>
          <w:b/>
          <w:sz w:val="24"/>
          <w:szCs w:val="24"/>
          <w:lang w:eastAsia="cs-CZ"/>
        </w:rPr>
        <w:t>do vzorku pro rok 2014 za všechny operační programy, činil 2,46 mld. €, cca 63,05</w:t>
      </w:r>
      <w:r w:rsidRPr="006F67E8">
        <w:rPr>
          <w:rFonts w:ascii="Times New Roman" w:hAnsi="Times New Roman"/>
          <w:sz w:val="24"/>
          <w:szCs w:val="24"/>
          <w:lang w:eastAsia="cs-CZ"/>
        </w:rPr>
        <w:t xml:space="preserve"> </w:t>
      </w:r>
      <w:r w:rsidRPr="006F67E8">
        <w:rPr>
          <w:rFonts w:ascii="Times New Roman" w:hAnsi="Times New Roman"/>
          <w:b/>
          <w:sz w:val="24"/>
          <w:szCs w:val="24"/>
          <w:lang w:eastAsia="cs-CZ"/>
        </w:rPr>
        <w:t>mld. Kč.</w:t>
      </w:r>
      <w:r w:rsidRPr="006F67E8">
        <w:rPr>
          <w:rFonts w:ascii="Times New Roman" w:hAnsi="Times New Roman"/>
          <w:sz w:val="24"/>
          <w:szCs w:val="24"/>
          <w:lang w:eastAsia="cs-CZ"/>
        </w:rPr>
        <w:t xml:space="preserve">  </w:t>
      </w:r>
      <w:r w:rsidRPr="006F67E8">
        <w:rPr>
          <w:rFonts w:ascii="Times New Roman" w:hAnsi="Times New Roman"/>
          <w:b/>
          <w:sz w:val="24"/>
          <w:szCs w:val="24"/>
          <w:lang w:eastAsia="cs-CZ"/>
        </w:rPr>
        <w:t>Zauditována pak byla částka ve výši 2,37 mld. €, cca 60,</w:t>
      </w:r>
      <w:r>
        <w:rPr>
          <w:rFonts w:ascii="Times New Roman" w:hAnsi="Times New Roman"/>
          <w:b/>
          <w:sz w:val="24"/>
          <w:szCs w:val="24"/>
          <w:lang w:eastAsia="cs-CZ"/>
        </w:rPr>
        <w:t>85</w:t>
      </w:r>
      <w:r w:rsidRPr="006F67E8">
        <w:rPr>
          <w:rFonts w:ascii="Times New Roman" w:hAnsi="Times New Roman"/>
          <w:b/>
          <w:sz w:val="24"/>
          <w:szCs w:val="24"/>
          <w:lang w:eastAsia="cs-CZ"/>
        </w:rPr>
        <w:t xml:space="preserve"> mld. Kč</w:t>
      </w:r>
      <w:r w:rsidRPr="006F67E8">
        <w:rPr>
          <w:rFonts w:ascii="Times New Roman" w:hAnsi="Times New Roman"/>
          <w:sz w:val="24"/>
          <w:szCs w:val="24"/>
          <w:lang w:eastAsia="cs-CZ"/>
        </w:rPr>
        <w:t>, což představuje cca 95,4 % z původně stanovené výše certifikovaných výdajů v roce 2013. Z toho pak identifikovaná chybovost činila cca 52,6 mil. € (1,35 mld. Kč), což je zhruba 2,2 % prosté chybovosti (sumární údaj za všechny operační programy).</w:t>
      </w:r>
    </w:p>
    <w:p w:rsidR="00F27B03" w:rsidRPr="006F67E8" w:rsidRDefault="00F27B03" w:rsidP="00EB4440">
      <w:pPr>
        <w:spacing w:after="0"/>
        <w:rPr>
          <w:rFonts w:ascii="Times New Roman" w:hAnsi="Times New Roman"/>
          <w:sz w:val="24"/>
          <w:szCs w:val="24"/>
          <w:lang w:eastAsia="cs-CZ"/>
        </w:rPr>
      </w:pPr>
      <w:r w:rsidRPr="006F67E8">
        <w:rPr>
          <w:rFonts w:ascii="Times New Roman" w:hAnsi="Times New Roman"/>
          <w:sz w:val="24"/>
          <w:szCs w:val="24"/>
          <w:lang w:eastAsia="cs-CZ"/>
        </w:rPr>
        <w:t>Komentář: tabulka níže vyjadřuje přehled srovnání skutečně auditovaných výdajů dle OP v letech 2013 a 2014 včetně částky 80 881 064,- Kč u OP Rybářství za rok 2014, která představuje certifikované výdaje z roku 2011.</w:t>
      </w:r>
    </w:p>
    <w:p w:rsidR="00F27B03" w:rsidRPr="006F67E8" w:rsidRDefault="00F27B03" w:rsidP="006F67E8">
      <w:pPr>
        <w:autoSpaceDE w:val="0"/>
        <w:autoSpaceDN w:val="0"/>
        <w:adjustRightInd w:val="0"/>
        <w:spacing w:after="0"/>
        <w:rPr>
          <w:rFonts w:ascii="Times New Roman" w:hAnsi="Times New Roman"/>
          <w:sz w:val="24"/>
          <w:szCs w:val="24"/>
          <w:lang w:eastAsia="cs-CZ"/>
        </w:rPr>
      </w:pPr>
    </w:p>
    <w:p w:rsidR="00F27B03" w:rsidRPr="006F67E8" w:rsidRDefault="008A6425" w:rsidP="006F67E8">
      <w:pPr>
        <w:autoSpaceDE w:val="0"/>
        <w:autoSpaceDN w:val="0"/>
        <w:adjustRightInd w:val="0"/>
        <w:spacing w:after="0"/>
        <w:rPr>
          <w:rFonts w:ascii="Times New Roman" w:hAnsi="Times New Roman"/>
          <w:sz w:val="24"/>
          <w:szCs w:val="24"/>
          <w:lang w:eastAsia="cs-CZ"/>
        </w:rPr>
      </w:pPr>
      <w:r>
        <w:rPr>
          <w:rFonts w:ascii="Times New Roman" w:hAnsi="Times New Roman"/>
          <w:noProof/>
          <w:sz w:val="24"/>
          <w:szCs w:val="24"/>
          <w:lang w:eastAsia="cs-CZ"/>
        </w:rPr>
        <w:lastRenderedPageBreak/>
        <w:drawing>
          <wp:inline distT="0" distB="0" distL="0" distR="0">
            <wp:extent cx="5728335" cy="3698240"/>
            <wp:effectExtent l="0" t="0" r="571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335" cy="3698240"/>
                    </a:xfrm>
                    <a:prstGeom prst="rect">
                      <a:avLst/>
                    </a:prstGeom>
                    <a:noFill/>
                    <a:ln>
                      <a:noFill/>
                    </a:ln>
                  </pic:spPr>
                </pic:pic>
              </a:graphicData>
            </a:graphic>
          </wp:inline>
        </w:drawing>
      </w:r>
    </w:p>
    <w:p w:rsidR="00F27B03" w:rsidRPr="006F67E8" w:rsidRDefault="00F27B03" w:rsidP="006F67E8">
      <w:pPr>
        <w:autoSpaceDE w:val="0"/>
        <w:autoSpaceDN w:val="0"/>
        <w:adjustRightInd w:val="0"/>
        <w:spacing w:after="0"/>
        <w:rPr>
          <w:rFonts w:ascii="Times New Roman" w:hAnsi="Times New Roman"/>
          <w:sz w:val="24"/>
          <w:szCs w:val="24"/>
          <w:lang w:eastAsia="cs-CZ"/>
        </w:rPr>
      </w:pPr>
    </w:p>
    <w:p w:rsidR="00F27B03" w:rsidRPr="006F67E8" w:rsidRDefault="00F27B03" w:rsidP="006F67E8">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Závěry a další postupy Auditního orgánu z uskutečněných auditů za rok 2014, které jsou z pohledu Evropské komise nejvíce sledovány vzhledem ke skutečnosti, že činnost Auditního orgánu je považována za poslední a nejvyšší autoritu řádného čerpání prostředků Evropské unie, jsou následující:</w:t>
      </w:r>
    </w:p>
    <w:p w:rsidR="00F27B03" w:rsidRPr="006F67E8" w:rsidRDefault="00F27B03" w:rsidP="00C20038">
      <w:pPr>
        <w:numPr>
          <w:ilvl w:val="0"/>
          <w:numId w:val="9"/>
        </w:numPr>
        <w:autoSpaceDE w:val="0"/>
        <w:autoSpaceDN w:val="0"/>
        <w:adjustRightInd w:val="0"/>
        <w:spacing w:after="0"/>
        <w:rPr>
          <w:rFonts w:ascii="Times New Roman" w:hAnsi="Times New Roman"/>
          <w:sz w:val="24"/>
          <w:szCs w:val="24"/>
          <w:lang w:eastAsia="cs-CZ"/>
        </w:rPr>
      </w:pPr>
      <w:r w:rsidRPr="006F67E8">
        <w:rPr>
          <w:rFonts w:ascii="Times New Roman" w:hAnsi="Times New Roman"/>
          <w:sz w:val="24"/>
          <w:szCs w:val="24"/>
          <w:lang w:eastAsia="cs-CZ"/>
        </w:rPr>
        <w:t>při auditu operací je možné odhalit systémové nedostatky (a provést doplňkový audit) a operativně řešit přijetí potřebných opatření k nápravě,</w:t>
      </w:r>
    </w:p>
    <w:p w:rsidR="00F27B03" w:rsidRPr="006F67E8" w:rsidRDefault="00F27B03" w:rsidP="00C20038">
      <w:pPr>
        <w:numPr>
          <w:ilvl w:val="0"/>
          <w:numId w:val="9"/>
        </w:numPr>
        <w:autoSpaceDE w:val="0"/>
        <w:autoSpaceDN w:val="0"/>
        <w:adjustRightInd w:val="0"/>
        <w:spacing w:after="0"/>
        <w:rPr>
          <w:rFonts w:ascii="Times New Roman" w:hAnsi="Times New Roman"/>
          <w:sz w:val="24"/>
          <w:szCs w:val="24"/>
          <w:lang w:eastAsia="cs-CZ"/>
        </w:rPr>
      </w:pPr>
      <w:r w:rsidRPr="006F67E8">
        <w:rPr>
          <w:rFonts w:ascii="Times New Roman" w:hAnsi="Times New Roman"/>
          <w:sz w:val="24"/>
          <w:szCs w:val="24"/>
          <w:lang w:eastAsia="cs-CZ"/>
        </w:rPr>
        <w:t xml:space="preserve">aktualizovaná Metodika finančních toků a kontroly zvyšuje roli auditorů Auditního orgánu a zohledňuje požadavky Evropské komise uvedené v Globálním akčním plánu, kdy identifikované nedostatky s finančním dopadem jsou bezprostředně odečítány z možného financování prostředků Evropské unie (v případě nesrovnalosti identifikované Auditním orgánem </w:t>
      </w:r>
      <w:r>
        <w:rPr>
          <w:rFonts w:ascii="Times New Roman" w:hAnsi="Times New Roman"/>
          <w:sz w:val="24"/>
          <w:szCs w:val="24"/>
          <w:lang w:eastAsia="cs-CZ"/>
        </w:rPr>
        <w:t>bylo upřesněno</w:t>
      </w:r>
      <w:r w:rsidRPr="006F67E8">
        <w:rPr>
          <w:rFonts w:ascii="Times New Roman" w:hAnsi="Times New Roman"/>
          <w:sz w:val="24"/>
          <w:szCs w:val="24"/>
          <w:lang w:eastAsia="cs-CZ"/>
        </w:rPr>
        <w:t>, že se jedná vždy o potvrzenou nesrovnalost),</w:t>
      </w:r>
    </w:p>
    <w:p w:rsidR="00F27B03" w:rsidRPr="007D55F3" w:rsidRDefault="00F27B03" w:rsidP="006F67E8">
      <w:pPr>
        <w:numPr>
          <w:ilvl w:val="0"/>
          <w:numId w:val="9"/>
        </w:numPr>
        <w:autoSpaceDE w:val="0"/>
        <w:autoSpaceDN w:val="0"/>
        <w:adjustRightInd w:val="0"/>
        <w:spacing w:after="0"/>
        <w:rPr>
          <w:rFonts w:ascii="Times New Roman" w:hAnsi="Times New Roman"/>
          <w:sz w:val="24"/>
          <w:szCs w:val="24"/>
          <w:lang w:eastAsia="cs-CZ"/>
        </w:rPr>
      </w:pPr>
      <w:r w:rsidRPr="006F67E8">
        <w:rPr>
          <w:rFonts w:ascii="Times New Roman" w:hAnsi="Times New Roman"/>
          <w:sz w:val="24"/>
          <w:szCs w:val="24"/>
          <w:lang w:eastAsia="cs-CZ"/>
        </w:rPr>
        <w:t>auditoři spolupracují s orgány činnými v trestní</w:t>
      </w:r>
      <w:r>
        <w:rPr>
          <w:rFonts w:ascii="Times New Roman" w:hAnsi="Times New Roman"/>
          <w:sz w:val="24"/>
          <w:szCs w:val="24"/>
          <w:lang w:eastAsia="cs-CZ"/>
        </w:rPr>
        <w:t>m</w:t>
      </w:r>
      <w:r w:rsidRPr="006F67E8">
        <w:rPr>
          <w:rFonts w:ascii="Times New Roman" w:hAnsi="Times New Roman"/>
          <w:sz w:val="24"/>
          <w:szCs w:val="24"/>
          <w:lang w:eastAsia="cs-CZ"/>
        </w:rPr>
        <w:t xml:space="preserve"> řízení, rozšířila se spolupráce se zástupci Generálního finančního ředitelství.</w:t>
      </w:r>
    </w:p>
    <w:p w:rsidR="00F27B03" w:rsidRPr="006F67E8" w:rsidRDefault="00F27B03" w:rsidP="006F67E8">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Značnou pozornost věnoval Auditní orgán v roce 2014 koordinaci a plnění konsolidovaného plánu auditů strukturálních fondů, Fondu soudržnosti a Evropského rybářského fondu za Českou republiku na rok 2014. Pro potřeby certifikace bylo ve smyslu požadavků Metodiky finančních toků a kontroly strukturálních fondů, Fondu soudržnosti </w:t>
      </w:r>
      <w:r w:rsidRPr="006F67E8">
        <w:rPr>
          <w:rFonts w:ascii="Times New Roman" w:hAnsi="Times New Roman"/>
          <w:sz w:val="24"/>
          <w:szCs w:val="24"/>
          <w:lang w:eastAsia="cs-CZ"/>
        </w:rPr>
        <w:lastRenderedPageBreak/>
        <w:t>a Evropského rybářského fondu na programové období 2007 – 2013 zasíláno čtvrtletní vyhodnocení plnění plánů auditů Platebnímu a certifikačnímu orgánu.</w:t>
      </w:r>
    </w:p>
    <w:p w:rsidR="00F27B03" w:rsidRPr="006F67E8" w:rsidRDefault="00F27B03" w:rsidP="006F67E8">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souladu s požadavkem finančního nařízení Rady (ES) č. 1605/2002 v aktuálním znění a prováděcího nařízení Komise (ES) č. 2342/2002 ve znění nařízení Komise (ES) č. 478/2007 a pozdějších předpisů v únoru 2015 vypracoval a odeslal Auditní orgán Evropské komisi dokument tzv. roční shrnutí za strukturální fondy, Fond soudržnosti a Evropský rybářský fond za rok 2014. Údaje v něm uvedené představují kompletní souhrn dostupných informací ohledně auditů a certifikací za rok předcházející roku, ve kterém </w:t>
      </w:r>
      <w:r>
        <w:rPr>
          <w:rFonts w:ascii="Times New Roman" w:hAnsi="Times New Roman"/>
          <w:sz w:val="24"/>
          <w:szCs w:val="24"/>
          <w:lang w:eastAsia="cs-CZ"/>
        </w:rPr>
        <w:t>je</w:t>
      </w:r>
      <w:r w:rsidRPr="006F67E8">
        <w:rPr>
          <w:rFonts w:ascii="Times New Roman" w:hAnsi="Times New Roman"/>
          <w:sz w:val="24"/>
          <w:szCs w:val="24"/>
          <w:lang w:eastAsia="cs-CZ"/>
        </w:rPr>
        <w:t xml:space="preserve"> zpráva předkládá</w:t>
      </w:r>
      <w:r>
        <w:rPr>
          <w:rFonts w:ascii="Times New Roman" w:hAnsi="Times New Roman"/>
          <w:sz w:val="24"/>
          <w:szCs w:val="24"/>
          <w:lang w:eastAsia="cs-CZ"/>
        </w:rPr>
        <w:t>na</w:t>
      </w:r>
      <w:r w:rsidRPr="006F67E8">
        <w:rPr>
          <w:rFonts w:ascii="Times New Roman" w:hAnsi="Times New Roman"/>
          <w:sz w:val="24"/>
          <w:szCs w:val="24"/>
          <w:lang w:eastAsia="cs-CZ"/>
        </w:rPr>
        <w:t>. Takovýto souhrn poskytuje celistvý přehled o ujištění, získaném z kontrolní a</w:t>
      </w:r>
      <w:r>
        <w:rPr>
          <w:rFonts w:ascii="Times New Roman" w:hAnsi="Times New Roman"/>
          <w:sz w:val="24"/>
          <w:szCs w:val="24"/>
          <w:lang w:eastAsia="cs-CZ"/>
        </w:rPr>
        <w:t> </w:t>
      </w:r>
      <w:r w:rsidRPr="006F67E8">
        <w:rPr>
          <w:rFonts w:ascii="Times New Roman" w:hAnsi="Times New Roman"/>
          <w:sz w:val="24"/>
          <w:szCs w:val="24"/>
          <w:lang w:eastAsia="cs-CZ"/>
        </w:rPr>
        <w:t xml:space="preserve">auditní činnosti a </w:t>
      </w:r>
      <w:r>
        <w:rPr>
          <w:rFonts w:ascii="Times New Roman" w:hAnsi="Times New Roman"/>
          <w:sz w:val="24"/>
          <w:szCs w:val="24"/>
          <w:lang w:eastAsia="cs-CZ"/>
        </w:rPr>
        <w:t xml:space="preserve">z </w:t>
      </w:r>
      <w:r w:rsidRPr="006F67E8">
        <w:rPr>
          <w:rFonts w:ascii="Times New Roman" w:hAnsi="Times New Roman"/>
          <w:sz w:val="24"/>
          <w:szCs w:val="24"/>
          <w:lang w:eastAsia="cs-CZ"/>
        </w:rPr>
        <w:t>procesu certifikace.</w:t>
      </w:r>
    </w:p>
    <w:p w:rsidR="00F27B03" w:rsidRPr="006F67E8" w:rsidRDefault="00F27B03" w:rsidP="006F67E8">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S ohledem na relevantní nařízení Evropské unie a metodické pokyny Evropské komise byly vypracovány a do Evropské komise k 31. prosinci 2014 zaslány výroční kontrolní zprávy, včetně stanovisek za jednotlivé operační programy pro programové období 2007 – 2013. </w:t>
      </w:r>
    </w:p>
    <w:p w:rsidR="00F27B03" w:rsidRPr="006F67E8" w:rsidRDefault="00F27B03" w:rsidP="006F67E8">
      <w:pPr>
        <w:ind w:firstLine="708"/>
        <w:rPr>
          <w:rFonts w:ascii="Times New Roman" w:hAnsi="Times New Roman"/>
          <w:sz w:val="24"/>
          <w:szCs w:val="24"/>
          <w:lang w:eastAsia="cs-CZ"/>
        </w:rPr>
      </w:pPr>
      <w:r w:rsidRPr="006F67E8">
        <w:rPr>
          <w:rFonts w:ascii="Times New Roman" w:hAnsi="Times New Roman"/>
          <w:sz w:val="24"/>
          <w:szCs w:val="24"/>
          <w:lang w:eastAsia="cs-CZ"/>
        </w:rPr>
        <w:t xml:space="preserve">V průběhu roku 2014 byly Evropské komisi odeslány prostřednictvím informačních systémů MSC2007 a SFC2007 aktualizace auditních strategií za všechny operační programy a další relevantní zprávy. V roce 2014 proběhla plánovaná </w:t>
      </w:r>
      <w:r>
        <w:rPr>
          <w:rFonts w:ascii="Times New Roman" w:hAnsi="Times New Roman"/>
          <w:sz w:val="24"/>
          <w:szCs w:val="24"/>
          <w:lang w:eastAsia="cs-CZ"/>
        </w:rPr>
        <w:t>i</w:t>
      </w:r>
      <w:r w:rsidRPr="006F67E8">
        <w:rPr>
          <w:rFonts w:ascii="Times New Roman" w:hAnsi="Times New Roman"/>
          <w:sz w:val="24"/>
          <w:szCs w:val="24"/>
          <w:lang w:eastAsia="cs-CZ"/>
        </w:rPr>
        <w:t xml:space="preserve"> ad hoc bilaterální jednání se zástupci Generálního ředitelství pro regionální a městskou politiku a zástupci Generálního ředitelství pro zaměstnanost, sociální věci a sociální začlenění a Generální ředitelství pro námořní záležitosti a rybolov.</w:t>
      </w:r>
    </w:p>
    <w:p w:rsidR="00F27B03" w:rsidRPr="006F67E8" w:rsidRDefault="00F27B03" w:rsidP="006F67E8">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Evropská komise v rámci sdílené odpovědnosti za správu fondů Evropské unie prověřuje existenci a řádné fungování řídících a kontrolních systémů, a to nejen na základě výše zmiňovaných výročních kontrolních zpráv a výročních stanovisek, zpráv z jednotlivých auditů zasílaných do Evropské komise Auditním orgánem, ročních shrnutí a dalších informací Auditního orgánu, ale také na základě výsledků vlastních auditů.</w:t>
      </w:r>
    </w:p>
    <w:p w:rsidR="00F27B03" w:rsidRPr="006F67E8" w:rsidRDefault="00F27B03" w:rsidP="007D55F3">
      <w:pPr>
        <w:rPr>
          <w:rFonts w:ascii="Times New Roman" w:hAnsi="Times New Roman"/>
          <w:sz w:val="24"/>
          <w:szCs w:val="24"/>
          <w:lang w:eastAsia="cs-CZ"/>
        </w:rPr>
      </w:pPr>
    </w:p>
    <w:p w:rsidR="00F27B03" w:rsidRPr="007D55F3" w:rsidRDefault="00F27B03" w:rsidP="007D55F3">
      <w:pPr>
        <w:rPr>
          <w:rFonts w:ascii="Times New Roman" w:hAnsi="Times New Roman"/>
          <w:b/>
          <w:sz w:val="24"/>
          <w:szCs w:val="24"/>
          <w:lang w:eastAsia="cs-CZ"/>
        </w:rPr>
      </w:pPr>
      <w:r w:rsidRPr="006F67E8">
        <w:rPr>
          <w:rFonts w:ascii="Times New Roman" w:hAnsi="Times New Roman"/>
          <w:b/>
          <w:sz w:val="24"/>
          <w:szCs w:val="24"/>
          <w:lang w:eastAsia="cs-CZ"/>
        </w:rPr>
        <w:t>IV.B</w:t>
      </w:r>
      <w:r w:rsidRPr="006F67E8">
        <w:rPr>
          <w:rFonts w:ascii="Times New Roman" w:hAnsi="Times New Roman"/>
          <w:b/>
          <w:sz w:val="24"/>
          <w:szCs w:val="24"/>
          <w:lang w:eastAsia="cs-CZ"/>
        </w:rPr>
        <w:tab/>
        <w:t>Veřejnosprávní kontrola a audit os</w:t>
      </w:r>
      <w:r>
        <w:rPr>
          <w:rFonts w:ascii="Times New Roman" w:hAnsi="Times New Roman"/>
          <w:b/>
          <w:sz w:val="24"/>
          <w:szCs w:val="24"/>
          <w:lang w:eastAsia="cs-CZ"/>
        </w:rPr>
        <w:t>tatních prostředků ze zahraničí</w:t>
      </w:r>
    </w:p>
    <w:p w:rsidR="00F27B03" w:rsidRPr="006F67E8" w:rsidRDefault="00F27B03" w:rsidP="007D55F3">
      <w:pPr>
        <w:autoSpaceDE w:val="0"/>
        <w:autoSpaceDN w:val="0"/>
        <w:adjustRightInd w:val="0"/>
        <w:ind w:firstLine="709"/>
        <w:rPr>
          <w:rFonts w:ascii="Times New Roman" w:hAnsi="Times New Roman"/>
          <w:b/>
          <w:sz w:val="24"/>
          <w:szCs w:val="24"/>
          <w:lang w:eastAsia="cs-CZ"/>
        </w:rPr>
      </w:pPr>
      <w:r w:rsidRPr="006F67E8">
        <w:rPr>
          <w:rFonts w:ascii="Times New Roman" w:hAnsi="Times New Roman"/>
          <w:b/>
          <w:sz w:val="24"/>
          <w:szCs w:val="24"/>
          <w:lang w:eastAsia="cs-CZ"/>
        </w:rPr>
        <w:t>Finanční mechani</w:t>
      </w:r>
      <w:r>
        <w:rPr>
          <w:rFonts w:ascii="Times New Roman" w:hAnsi="Times New Roman"/>
          <w:b/>
          <w:sz w:val="24"/>
          <w:szCs w:val="24"/>
          <w:lang w:eastAsia="cs-CZ"/>
        </w:rPr>
        <w:t>smy EHP/Norsko 2009 – 2014</w:t>
      </w:r>
    </w:p>
    <w:p w:rsidR="00F27B03" w:rsidRPr="006F67E8" w:rsidRDefault="00F27B03" w:rsidP="006F67E8">
      <w:pPr>
        <w:autoSpaceDE w:val="0"/>
        <w:autoSpaceDN w:val="0"/>
        <w:adjustRightInd w:val="0"/>
        <w:spacing w:after="0"/>
        <w:rPr>
          <w:rFonts w:ascii="Times New Roman" w:hAnsi="Times New Roman"/>
          <w:sz w:val="24"/>
          <w:szCs w:val="24"/>
          <w:lang w:eastAsia="cs-CZ"/>
        </w:rPr>
      </w:pPr>
      <w:r w:rsidRPr="006F67E8">
        <w:rPr>
          <w:rFonts w:ascii="Times New Roman" w:hAnsi="Times New Roman"/>
          <w:sz w:val="24"/>
          <w:szCs w:val="24"/>
          <w:lang w:eastAsia="cs-CZ"/>
        </w:rPr>
        <w:t xml:space="preserve">V roce 2014 Auditní orgán v rámci implementace Finančních mechanismů EHP/Norsko 2009-2014  provedl 1 audit systému, 5 mimořádných auditů systému a 3 audity operací.  </w:t>
      </w:r>
      <w:r w:rsidRPr="006F67E8">
        <w:rPr>
          <w:rFonts w:ascii="Times New Roman" w:hAnsi="Times New Roman"/>
          <w:bCs/>
          <w:sz w:val="24"/>
          <w:szCs w:val="24"/>
          <w:lang w:eastAsia="cs-CZ"/>
        </w:rPr>
        <w:t xml:space="preserve">Systémové audity byly započaté po 1. 7. 2014.  Mimořádné audity systému byly provedeny na základě čl. 4.8, bod 2, 3 a 4 Nařízení o implementaci finančních mechanismů EHP/Norsko 2009 – 2014 k dodání stanoviska a zprávy o nastavení řídicích a kontrolních systémů </w:t>
      </w:r>
      <w:r w:rsidRPr="006F67E8">
        <w:rPr>
          <w:rFonts w:ascii="Times New Roman" w:hAnsi="Times New Roman"/>
          <w:bCs/>
          <w:sz w:val="24"/>
          <w:szCs w:val="24"/>
          <w:lang w:eastAsia="cs-CZ"/>
        </w:rPr>
        <w:lastRenderedPageBreak/>
        <w:t>u</w:t>
      </w:r>
      <w:r>
        <w:rPr>
          <w:rFonts w:ascii="Times New Roman" w:hAnsi="Times New Roman"/>
          <w:bCs/>
          <w:sz w:val="24"/>
          <w:szCs w:val="24"/>
          <w:lang w:eastAsia="cs-CZ"/>
        </w:rPr>
        <w:t> </w:t>
      </w:r>
      <w:r w:rsidRPr="006F67E8">
        <w:rPr>
          <w:rFonts w:ascii="Times New Roman" w:hAnsi="Times New Roman"/>
          <w:bCs/>
          <w:sz w:val="24"/>
          <w:szCs w:val="24"/>
          <w:lang w:eastAsia="cs-CZ"/>
        </w:rPr>
        <w:t xml:space="preserve">zprostředkovatelů programů. Popis hlavních zjištění a závěrů, které byly na základě auditů vyvozeny pro řídicí a kontrolní systémy a jejich fungování včetně toho, zda byly kontroly řízení, certifikační postupy a zda byly odpovídajícím způsobem odděleny funkce a tím dodrženy požadavky stanovené v Nařízení. </w:t>
      </w:r>
      <w:r w:rsidRPr="006F67E8">
        <w:rPr>
          <w:rFonts w:ascii="Times New Roman" w:hAnsi="Times New Roman"/>
          <w:sz w:val="24"/>
          <w:szCs w:val="24"/>
          <w:lang w:eastAsia="cs-CZ"/>
        </w:rPr>
        <w:t>U těchto mimořádných auditů systémů nebyly zjištěny žádné nedostatky. Zprávy o mimořádných auditech systémů byly zaslány auditovaným subjektům a byly předloženy V</w:t>
      </w:r>
      <w:r>
        <w:rPr>
          <w:rFonts w:ascii="Times New Roman" w:hAnsi="Times New Roman"/>
          <w:sz w:val="24"/>
          <w:szCs w:val="24"/>
          <w:lang w:eastAsia="cs-CZ"/>
        </w:rPr>
        <w:t>ýboru finančních mechanismů a Ministerstvu zahraničních věcí Norska</w:t>
      </w:r>
      <w:r w:rsidRPr="006F67E8">
        <w:rPr>
          <w:rFonts w:ascii="Times New Roman" w:hAnsi="Times New Roman"/>
          <w:sz w:val="24"/>
          <w:szCs w:val="24"/>
          <w:lang w:eastAsia="cs-CZ"/>
        </w:rPr>
        <w:t xml:space="preserve">. Audit systému u NKM a CO není dosud skončen. Dne 23. 1. 2015 byl audit systému rozšířen o zprostředkovatele programu CZ07 - DZS, kde byla z CO hlášena systémová nesrovnalost při hodnocení a výběru projektu. </w:t>
      </w:r>
    </w:p>
    <w:p w:rsidR="00F27B03" w:rsidRPr="006F67E8" w:rsidRDefault="00F27B03" w:rsidP="006F67E8">
      <w:pPr>
        <w:autoSpaceDE w:val="0"/>
        <w:autoSpaceDN w:val="0"/>
        <w:adjustRightInd w:val="0"/>
        <w:spacing w:after="0"/>
        <w:ind w:firstLine="708"/>
        <w:rPr>
          <w:rFonts w:ascii="Times New Roman" w:hAnsi="Times New Roman"/>
          <w:bCs/>
          <w:sz w:val="24"/>
          <w:szCs w:val="24"/>
          <w:lang w:eastAsia="cs-CZ"/>
        </w:rPr>
      </w:pPr>
      <w:r w:rsidRPr="006F67E8">
        <w:rPr>
          <w:rFonts w:ascii="Times New Roman" w:hAnsi="Times New Roman"/>
          <w:bCs/>
          <w:sz w:val="24"/>
          <w:szCs w:val="24"/>
          <w:lang w:eastAsia="cs-CZ"/>
        </w:rPr>
        <w:t xml:space="preserve">Při výběru vzorku operací určených pro rok 2014 postupoval AO v souladu s nařízením Evropské komise (dále jen „EK“), auditní strategií pro </w:t>
      </w:r>
      <w:r w:rsidRPr="006F67E8">
        <w:rPr>
          <w:rFonts w:ascii="Times New Roman" w:hAnsi="Times New Roman"/>
          <w:sz w:val="24"/>
          <w:szCs w:val="24"/>
          <w:lang w:eastAsia="cs-CZ"/>
        </w:rPr>
        <w:t>FM EHP/Norsko 2009 – 2014</w:t>
      </w:r>
      <w:r w:rsidRPr="006F67E8">
        <w:rPr>
          <w:rFonts w:ascii="Times New Roman" w:hAnsi="Times New Roman"/>
          <w:bCs/>
          <w:sz w:val="24"/>
          <w:szCs w:val="24"/>
          <w:lang w:eastAsia="cs-CZ"/>
        </w:rPr>
        <w:t xml:space="preserve"> a s přihlédnutím k aktualizovanému pokynu EK pro výběr vzorku (COCOF 08/0021/03).  Schválených žádostí o poskytnutí finančního příspěvku za rok 2013 bylo 15 o celkové výši výdajů 2 613 820,00 Kč, což představuje 105 396,00 Eur.</w:t>
      </w:r>
    </w:p>
    <w:p w:rsidR="00F27B03" w:rsidRPr="006F67E8" w:rsidRDefault="00F27B03" w:rsidP="006F67E8">
      <w:pPr>
        <w:autoSpaceDE w:val="0"/>
        <w:autoSpaceDN w:val="0"/>
        <w:adjustRightInd w:val="0"/>
        <w:spacing w:after="0"/>
        <w:ind w:firstLine="708"/>
        <w:rPr>
          <w:rFonts w:ascii="Times New Roman" w:hAnsi="Times New Roman"/>
          <w:b/>
          <w:bCs/>
          <w:sz w:val="24"/>
          <w:szCs w:val="24"/>
          <w:lang w:eastAsia="cs-CZ"/>
        </w:rPr>
      </w:pPr>
      <w:r w:rsidRPr="006F67E8">
        <w:rPr>
          <w:rFonts w:ascii="Times New Roman" w:hAnsi="Times New Roman"/>
          <w:bCs/>
          <w:sz w:val="24"/>
          <w:szCs w:val="24"/>
          <w:lang w:eastAsia="cs-CZ"/>
        </w:rPr>
        <w:t xml:space="preserve">Vzorek pro audit operací byl vybrán z programu CZ01 Bilaterální fond na národní úrovni na základě COCOF 08/0021/03. </w:t>
      </w:r>
      <w:r>
        <w:rPr>
          <w:rFonts w:ascii="Times New Roman" w:hAnsi="Times New Roman"/>
          <w:bCs/>
          <w:sz w:val="24"/>
          <w:szCs w:val="24"/>
          <w:lang w:eastAsia="cs-CZ"/>
        </w:rPr>
        <w:t>Pro v</w:t>
      </w:r>
      <w:r w:rsidRPr="006F67E8">
        <w:rPr>
          <w:rFonts w:ascii="Times New Roman" w:hAnsi="Times New Roman"/>
          <w:bCs/>
          <w:sz w:val="24"/>
          <w:szCs w:val="24"/>
          <w:lang w:eastAsia="cs-CZ"/>
        </w:rPr>
        <w:t>ýběr vzorku pro Roční plán auditů 2014 byla použita nestatistická metoda, s ohledem na celkovou velikost základního souboru. Základní populace pro výběr vzorků obsahovala 14 projektů o celkové výši výdajů 2 253 400,00 Kč, což představuje 90 863,00 Eur. Při sestavování plánu auditů pro 2. pololetí roku 2014 byl, kromě výše uvedených podkladů a výběru vzorku, rovněž zohledněn požadavek při jednání s NKM (odbor 58, odd</w:t>
      </w:r>
      <w:r>
        <w:rPr>
          <w:rFonts w:ascii="Times New Roman" w:hAnsi="Times New Roman"/>
          <w:bCs/>
          <w:sz w:val="24"/>
          <w:szCs w:val="24"/>
          <w:lang w:eastAsia="cs-CZ"/>
        </w:rPr>
        <w:t>ělení</w:t>
      </w:r>
      <w:r w:rsidRPr="006F67E8">
        <w:rPr>
          <w:rFonts w:ascii="Times New Roman" w:hAnsi="Times New Roman"/>
          <w:bCs/>
          <w:sz w:val="24"/>
          <w:szCs w:val="24"/>
          <w:lang w:eastAsia="cs-CZ"/>
        </w:rPr>
        <w:t xml:space="preserve"> 5801 a 5804), kteří měli tíživou komunikaci a spolupráci při vyřizování a schvalování žádostí o proplacený grantu se subjektem Kulturní mosty, o.s., který realizoval projekt Kulturní mosty 2013 / Cultural bridges 2013 bilaterální česko-norský meeting. Z tohoto důvodu byl tento subjekt zvolen nad rámec cíleným výběrem.</w:t>
      </w:r>
    </w:p>
    <w:p w:rsidR="00F27B03" w:rsidRPr="006F67E8" w:rsidRDefault="00F27B03" w:rsidP="006F67E8">
      <w:pPr>
        <w:spacing w:after="0"/>
        <w:rPr>
          <w:rFonts w:ascii="Times New Roman" w:hAnsi="Times New Roman"/>
          <w:b/>
          <w:sz w:val="24"/>
          <w:szCs w:val="24"/>
          <w:lang w:eastAsia="cs-CZ"/>
        </w:rPr>
      </w:pPr>
    </w:p>
    <w:p w:rsidR="00F27B03" w:rsidRPr="006C6C69" w:rsidRDefault="00F27B03" w:rsidP="006C6C69">
      <w:pPr>
        <w:rPr>
          <w:rFonts w:ascii="Times New Roman" w:hAnsi="Times New Roman"/>
          <w:b/>
          <w:sz w:val="24"/>
          <w:szCs w:val="24"/>
          <w:lang w:eastAsia="cs-CZ"/>
        </w:rPr>
      </w:pPr>
      <w:r w:rsidRPr="006F67E8">
        <w:rPr>
          <w:rFonts w:ascii="Times New Roman" w:hAnsi="Times New Roman"/>
          <w:b/>
          <w:sz w:val="24"/>
          <w:szCs w:val="24"/>
          <w:lang w:eastAsia="cs-CZ"/>
        </w:rPr>
        <w:t>Obecný program Soli</w:t>
      </w:r>
      <w:r>
        <w:rPr>
          <w:rFonts w:ascii="Times New Roman" w:hAnsi="Times New Roman"/>
          <w:b/>
          <w:sz w:val="24"/>
          <w:szCs w:val="24"/>
          <w:lang w:eastAsia="cs-CZ"/>
        </w:rPr>
        <w:t>darita a řízení migračních toků</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roce 2014 provedl Auditní orgán celkem 14 auditů operací, přičemž auditované výdaje představovaly hodnotu 72 442 466,00 Kč (tj. 33,47% z celkových výdajů ročního programu 2012.</w:t>
      </w:r>
    </w:p>
    <w:p w:rsidR="00F27B03" w:rsidRPr="006F67E8" w:rsidRDefault="00F27B03" w:rsidP="006F67E8">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následujících oblastí: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neuznatelné mzdové náklady,</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nenaplnění monitorovacích indikátorů.</w:t>
      </w:r>
    </w:p>
    <w:p w:rsidR="00F27B03" w:rsidRDefault="00F27B03" w:rsidP="00E21281">
      <w:pPr>
        <w:widowControl w:val="0"/>
        <w:tabs>
          <w:tab w:val="left" w:pos="567"/>
        </w:tabs>
        <w:suppressAutoHyphens/>
        <w:rPr>
          <w:rFonts w:ascii="Times New Roman" w:hAnsi="Times New Roman"/>
          <w:sz w:val="24"/>
          <w:szCs w:val="24"/>
          <w:lang w:eastAsia="cs-CZ"/>
        </w:rPr>
      </w:pPr>
      <w:r w:rsidRPr="006F67E8">
        <w:rPr>
          <w:rFonts w:ascii="Times New Roman" w:hAnsi="Times New Roman"/>
          <w:sz w:val="24"/>
          <w:szCs w:val="24"/>
          <w:lang w:eastAsia="cs-CZ"/>
        </w:rPr>
        <w:lastRenderedPageBreak/>
        <w:t xml:space="preserve">V měsíci prosinec 2014 byl zahájen audit systému u Certifikačního orgánu v rozsahu Fondu vnějších hranic pro roční program 2011, který byl v měsíci únor 2015 s ohledem na předběžná zjištění, vyplývající z návrhu auditní zprávy EK rozšířen na všechny 4 fondy spadající pod obecný program Solidarita a řízení migračních toků. </w:t>
      </w:r>
      <w:r>
        <w:rPr>
          <w:rFonts w:ascii="Times New Roman" w:hAnsi="Times New Roman"/>
          <w:sz w:val="24"/>
          <w:szCs w:val="24"/>
          <w:lang w:eastAsia="cs-CZ"/>
        </w:rPr>
        <w:t>Klasifikace předběžných zjištění identifikovaná u Certifikačního orgánu MV dle Návrhu zprávy z auditu EK konstatuje, že činnost CO je funkční, některá zlepšení jsou potřeba a je vyhodnocena stupněm 2, přičemž AO MF hodnotil při auditu systému č.  13/2014/FVH činnost CO stupněm 3 (systém funguje částečně, jsou třeba zásadní zlepšení).</w:t>
      </w:r>
    </w:p>
    <w:p w:rsidR="00F27B03" w:rsidRPr="00427314" w:rsidRDefault="00F27B03" w:rsidP="00E21281">
      <w:pPr>
        <w:widowControl w:val="0"/>
        <w:tabs>
          <w:tab w:val="left" w:pos="567"/>
        </w:tabs>
        <w:suppressAutoHyphens/>
        <w:rPr>
          <w:rFonts w:ascii="Times New Roman" w:eastAsia="SimSun" w:hAnsi="Times New Roman" w:cs="Mangal"/>
          <w:kern w:val="2"/>
          <w:sz w:val="24"/>
          <w:szCs w:val="24"/>
          <w:lang w:eastAsia="hi-IN" w:bidi="hi-IN"/>
        </w:rPr>
      </w:pPr>
    </w:p>
    <w:p w:rsidR="00F27B03" w:rsidRPr="00427314" w:rsidRDefault="00F27B03" w:rsidP="00C20038">
      <w:pPr>
        <w:widowControl w:val="0"/>
        <w:numPr>
          <w:ilvl w:val="0"/>
          <w:numId w:val="5"/>
        </w:numPr>
        <w:tabs>
          <w:tab w:val="clear" w:pos="720"/>
          <w:tab w:val="left" w:pos="709"/>
        </w:tabs>
        <w:suppressAutoHyphens/>
        <w:ind w:hanging="720"/>
        <w:rPr>
          <w:rFonts w:ascii="Times New Roman" w:eastAsia="SimSun" w:hAnsi="Times New Roman" w:cs="Mangal"/>
          <w:kern w:val="2"/>
          <w:sz w:val="28"/>
          <w:szCs w:val="28"/>
          <w:lang w:eastAsia="hi-IN" w:bidi="hi-IN"/>
        </w:rPr>
      </w:pPr>
      <w:r w:rsidRPr="00427314">
        <w:rPr>
          <w:rFonts w:ascii="Times New Roman" w:eastAsia="SimSun" w:hAnsi="Times New Roman" w:cs="Mangal"/>
          <w:b/>
          <w:bCs/>
          <w:kern w:val="2"/>
          <w:sz w:val="28"/>
          <w:szCs w:val="28"/>
          <w:lang w:eastAsia="hi-IN" w:bidi="hi-IN"/>
        </w:rPr>
        <w:t>Interní audit v orgánech veřejné správy</w:t>
      </w: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Činnost interního auditu se řídila plány interního auditu pro rok 2014 schválenými vedoucími orgánu veřejné správy, které vycházely z provedených analýz rizik a konkretizace cílů a záměrů vyjádřených ve střednědobých plánech. Roční plány byly v průběhu roku doplněny o operativně zařazené interní audity. Část plánovaných interních auditů tvoří následné audity ověřující plnění a dodržování opatření přijatých na základě doporučení z předchozích auditů.</w:t>
      </w: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 xml:space="preserve">Interní audity byly zaměřeny na vyhodnocování vnitřního kontrolního systému orgánů veřejné správy z hlediska přiměřenosti a účinnosti fungování kontrolních mechanismů finančního řízení v odpovědnosti řídících a výkonných struktur, včetně prověřování správnosti vybraných operací. Audity byly dále v souladu s usnesením vlády č. 445/2014 zaměřeny na ověřování postupů při zadávání veřejných zakázek podle zákona č. 137/2006 Sb., o veřejných zakázkách, na dodržování rozpočtových pravidel, tj. zákona č. 218/2000 Sb., </w:t>
      </w:r>
      <w:r>
        <w:rPr>
          <w:rFonts w:ascii="Times New Roman" w:eastAsia="SimSun" w:hAnsi="Times New Roman"/>
          <w:kern w:val="1"/>
          <w:sz w:val="24"/>
          <w:szCs w:val="24"/>
          <w:lang w:eastAsia="hi-IN" w:bidi="hi-IN"/>
        </w:rPr>
        <w:t>o rozpočtových pravidlech</w:t>
      </w:r>
      <w:r>
        <w:rPr>
          <w:rFonts w:ascii="Times New Roman" w:eastAsia="SimSun" w:hAnsi="Times New Roman" w:cs="Mangal"/>
          <w:kern w:val="2"/>
          <w:sz w:val="24"/>
          <w:szCs w:val="24"/>
          <w:lang w:eastAsia="hi-IN" w:bidi="hi-IN"/>
        </w:rPr>
        <w:t xml:space="preserve"> a zákona č. 250/2000 Sb., o rozpočtových pravidlech územních rozpočtů a při hospodaření a nakládání s majetkem.</w:t>
      </w: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V průběhu roku 2014 provedly útvary interního auditu celkem 3235 plánovaných interních auditů z celkového počtu naplánovaných 3664 auditů a 385 operativně zařazených interních auditů. Finanční audity z celkového množství provedených auditů tvořily 31,72 %, audity systému 28,51 %, audity výkonu 19,11 % a jinak zaměřené audity (ostatní) 20,66 %.</w:t>
      </w: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00"/>
        <w:gridCol w:w="1777"/>
        <w:gridCol w:w="1834"/>
        <w:gridCol w:w="1761"/>
        <w:gridCol w:w="1156"/>
        <w:gridCol w:w="1136"/>
      </w:tblGrid>
      <w:tr w:rsidR="00F27B03" w:rsidRPr="00702991" w:rsidTr="00702991">
        <w:trPr>
          <w:trHeight w:val="158"/>
          <w:jc w:val="center"/>
        </w:trPr>
        <w:tc>
          <w:tcPr>
            <w:tcW w:w="1000" w:type="dxa"/>
            <w:vMerge w:val="restart"/>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lastRenderedPageBreak/>
              <w:t>Rok</w:t>
            </w:r>
          </w:p>
        </w:tc>
        <w:tc>
          <w:tcPr>
            <w:tcW w:w="3503" w:type="dxa"/>
            <w:gridSpan w:val="2"/>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Počet vykonaných interních auditů</w:t>
            </w:r>
          </w:p>
        </w:tc>
        <w:tc>
          <w:tcPr>
            <w:tcW w:w="4053" w:type="dxa"/>
            <w:gridSpan w:val="3"/>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Zaměření interních auditů</w:t>
            </w:r>
          </w:p>
        </w:tc>
      </w:tr>
      <w:tr w:rsidR="00F27B03" w:rsidRPr="00702991" w:rsidTr="00702991">
        <w:trPr>
          <w:trHeight w:hRule="exact" w:val="735"/>
          <w:jc w:val="center"/>
        </w:trPr>
        <w:tc>
          <w:tcPr>
            <w:tcW w:w="1000" w:type="dxa"/>
            <w:vMerge/>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p>
        </w:tc>
        <w:tc>
          <w:tcPr>
            <w:tcW w:w="1669" w:type="dxa"/>
            <w:tcBorders>
              <w:top w:val="single" w:sz="12" w:space="0" w:color="auto"/>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naplánovaných</w:t>
            </w:r>
          </w:p>
        </w:tc>
        <w:tc>
          <w:tcPr>
            <w:tcW w:w="1834" w:type="dxa"/>
            <w:tcBorders>
              <w:top w:val="single" w:sz="12" w:space="0" w:color="auto"/>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celkem</w:t>
            </w:r>
          </w:p>
        </w:tc>
        <w:tc>
          <w:tcPr>
            <w:tcW w:w="1761"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finanční</w:t>
            </w:r>
          </w:p>
        </w:tc>
        <w:tc>
          <w:tcPr>
            <w:tcW w:w="1156"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systému</w:t>
            </w:r>
          </w:p>
        </w:tc>
        <w:tc>
          <w:tcPr>
            <w:tcW w:w="1136"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výkonu</w:t>
            </w:r>
          </w:p>
        </w:tc>
      </w:tr>
      <w:tr w:rsidR="00F27B03" w:rsidRPr="00702991" w:rsidTr="00702991">
        <w:trPr>
          <w:trHeight w:hRule="exact" w:val="340"/>
          <w:jc w:val="center"/>
        </w:trPr>
        <w:tc>
          <w:tcPr>
            <w:tcW w:w="1000" w:type="dxa"/>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2010</w:t>
            </w:r>
          </w:p>
        </w:tc>
        <w:tc>
          <w:tcPr>
            <w:tcW w:w="1669" w:type="dxa"/>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4103</w:t>
            </w:r>
          </w:p>
        </w:tc>
        <w:tc>
          <w:tcPr>
            <w:tcW w:w="1834" w:type="dxa"/>
            <w:tcBorders>
              <w:top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4766</w:t>
            </w:r>
          </w:p>
        </w:tc>
        <w:tc>
          <w:tcPr>
            <w:tcW w:w="1761" w:type="dxa"/>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1540</w:t>
            </w:r>
          </w:p>
        </w:tc>
        <w:tc>
          <w:tcPr>
            <w:tcW w:w="1156" w:type="dxa"/>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1310</w:t>
            </w:r>
          </w:p>
        </w:tc>
        <w:tc>
          <w:tcPr>
            <w:tcW w:w="1136" w:type="dxa"/>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847</w:t>
            </w:r>
          </w:p>
        </w:tc>
      </w:tr>
      <w:tr w:rsidR="00F27B03" w:rsidRPr="00702991" w:rsidTr="00702991">
        <w:trPr>
          <w:trHeight w:hRule="exact" w:val="340"/>
          <w:jc w:val="center"/>
        </w:trPr>
        <w:tc>
          <w:tcPr>
            <w:tcW w:w="1000"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2011</w:t>
            </w:r>
          </w:p>
        </w:tc>
        <w:tc>
          <w:tcPr>
            <w:tcW w:w="1669"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3669</w:t>
            </w:r>
          </w:p>
        </w:tc>
        <w:tc>
          <w:tcPr>
            <w:tcW w:w="1834"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4217</w:t>
            </w:r>
          </w:p>
        </w:tc>
        <w:tc>
          <w:tcPr>
            <w:tcW w:w="1761"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1374</w:t>
            </w:r>
          </w:p>
        </w:tc>
        <w:tc>
          <w:tcPr>
            <w:tcW w:w="1156"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1194</w:t>
            </w:r>
          </w:p>
        </w:tc>
        <w:tc>
          <w:tcPr>
            <w:tcW w:w="1136"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746</w:t>
            </w:r>
          </w:p>
        </w:tc>
      </w:tr>
      <w:tr w:rsidR="00F27B03" w:rsidRPr="00702991" w:rsidTr="00702991">
        <w:trPr>
          <w:trHeight w:hRule="exact" w:val="340"/>
          <w:jc w:val="center"/>
        </w:trPr>
        <w:tc>
          <w:tcPr>
            <w:tcW w:w="1000"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2012</w:t>
            </w:r>
          </w:p>
        </w:tc>
        <w:tc>
          <w:tcPr>
            <w:tcW w:w="1669"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3313</w:t>
            </w:r>
          </w:p>
        </w:tc>
        <w:tc>
          <w:tcPr>
            <w:tcW w:w="1834"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3968</w:t>
            </w:r>
          </w:p>
        </w:tc>
        <w:tc>
          <w:tcPr>
            <w:tcW w:w="1761"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1299</w:t>
            </w:r>
          </w:p>
        </w:tc>
        <w:tc>
          <w:tcPr>
            <w:tcW w:w="1156"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1201</w:t>
            </w:r>
          </w:p>
        </w:tc>
        <w:tc>
          <w:tcPr>
            <w:tcW w:w="1136"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687</w:t>
            </w:r>
          </w:p>
        </w:tc>
      </w:tr>
      <w:tr w:rsidR="00F27B03" w:rsidRPr="00702991" w:rsidTr="00702991">
        <w:trPr>
          <w:trHeight w:hRule="exact" w:val="340"/>
          <w:jc w:val="center"/>
        </w:trPr>
        <w:tc>
          <w:tcPr>
            <w:tcW w:w="1000"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2013</w:t>
            </w:r>
          </w:p>
        </w:tc>
        <w:tc>
          <w:tcPr>
            <w:tcW w:w="1669"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3214</w:t>
            </w:r>
          </w:p>
        </w:tc>
        <w:tc>
          <w:tcPr>
            <w:tcW w:w="1834"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3782</w:t>
            </w:r>
          </w:p>
        </w:tc>
        <w:tc>
          <w:tcPr>
            <w:tcW w:w="1761"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1155</w:t>
            </w:r>
          </w:p>
        </w:tc>
        <w:tc>
          <w:tcPr>
            <w:tcW w:w="1156"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1118</w:t>
            </w:r>
          </w:p>
        </w:tc>
        <w:tc>
          <w:tcPr>
            <w:tcW w:w="1136" w:type="dxa"/>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691</w:t>
            </w:r>
          </w:p>
        </w:tc>
      </w:tr>
      <w:tr w:rsidR="00F27B03" w:rsidRPr="00702991" w:rsidTr="00702991">
        <w:trPr>
          <w:trHeight w:hRule="exact" w:val="340"/>
          <w:jc w:val="center"/>
        </w:trPr>
        <w:tc>
          <w:tcPr>
            <w:tcW w:w="1000"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2014</w:t>
            </w:r>
          </w:p>
        </w:tc>
        <w:tc>
          <w:tcPr>
            <w:tcW w:w="1669"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3235</w:t>
            </w:r>
          </w:p>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p>
        </w:tc>
        <w:tc>
          <w:tcPr>
            <w:tcW w:w="1834"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3799</w:t>
            </w:r>
          </w:p>
        </w:tc>
        <w:tc>
          <w:tcPr>
            <w:tcW w:w="1761"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1205</w:t>
            </w:r>
          </w:p>
        </w:tc>
        <w:tc>
          <w:tcPr>
            <w:tcW w:w="1156"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1083</w:t>
            </w:r>
          </w:p>
        </w:tc>
        <w:tc>
          <w:tcPr>
            <w:tcW w:w="1136" w:type="dxa"/>
            <w:tcBorders>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726</w:t>
            </w:r>
          </w:p>
        </w:tc>
      </w:tr>
    </w:tbl>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 xml:space="preserve">V roce 2014 po období poklesu počtu provedených auditů jejich počet opět mírně vzrostl, bylo provedeno celkem o 17 auditů více než v roce 2013. </w:t>
      </w:r>
    </w:p>
    <w:p w:rsidR="00F27B03" w:rsidRDefault="00F27B03" w:rsidP="006C6C69">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Převážná část doporučení z vykonaných auditů se týká obdobných nedostatků, jaké byly zjišťovány při výkonu veřejnosprávních kontrol. Doporučení se týkala zejména těchto zjišťovaných nedostatků:</w:t>
      </w:r>
    </w:p>
    <w:p w:rsidR="00F27B03" w:rsidRDefault="00F27B03" w:rsidP="00C20038">
      <w:pPr>
        <w:pStyle w:val="Odstavecseseznamem"/>
        <w:widowControl w:val="0"/>
        <w:numPr>
          <w:ilvl w:val="0"/>
          <w:numId w:val="10"/>
        </w:numPr>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nedostatečné nebo vůbec žádné zapracování nové legislativy do vnitřních řídících aktů orgánu veřejné správy,</w:t>
      </w:r>
    </w:p>
    <w:p w:rsidR="00F27B03" w:rsidRDefault="00F27B03" w:rsidP="00C20038">
      <w:pPr>
        <w:pStyle w:val="Odstavecseseznamem"/>
        <w:widowControl w:val="0"/>
        <w:numPr>
          <w:ilvl w:val="0"/>
          <w:numId w:val="10"/>
        </w:numPr>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nedostatečné nebo vůbec žádné zdůvodnění zadání veřejné zakázky bez uveřejnění,</w:t>
      </w:r>
    </w:p>
    <w:p w:rsidR="00F27B03" w:rsidRDefault="00F27B03" w:rsidP="00C20038">
      <w:pPr>
        <w:pStyle w:val="Odstavecseseznamem"/>
        <w:widowControl w:val="0"/>
        <w:numPr>
          <w:ilvl w:val="0"/>
          <w:numId w:val="10"/>
        </w:numPr>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nedodržování zákona o účetnictví při nakládání s majetkem (chybné zaúčtování),</w:t>
      </w:r>
    </w:p>
    <w:p w:rsidR="00F27B03" w:rsidRDefault="00F27B03" w:rsidP="00C20038">
      <w:pPr>
        <w:pStyle w:val="Odstavecseseznamem"/>
        <w:widowControl w:val="0"/>
        <w:numPr>
          <w:ilvl w:val="0"/>
          <w:numId w:val="10"/>
        </w:numPr>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nedostatky při evidenci majetku a jeho inventarizaci,</w:t>
      </w:r>
    </w:p>
    <w:p w:rsidR="00F27B03" w:rsidRDefault="00F27B03" w:rsidP="00C20038">
      <w:pPr>
        <w:pStyle w:val="Odstavecseseznamem"/>
        <w:widowControl w:val="0"/>
        <w:numPr>
          <w:ilvl w:val="0"/>
          <w:numId w:val="10"/>
        </w:numPr>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nedostatky při tvorbě a čerpání FKSP.</w:t>
      </w:r>
    </w:p>
    <w:p w:rsidR="00F27B03" w:rsidRDefault="00F27B03" w:rsidP="002806E2">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 xml:space="preserve">V orgánech veřejné správy zajišťovalo službu interního auditu v roce 2014 celkem 868 interních auditorů, z toho 402 v orgánech a organizacích územní samosprávy, 457 interních auditorů ve státní správě a 9 interních auditorů v regionálních radách regionů soudržnosti. </w:t>
      </w:r>
      <w:r>
        <w:rPr>
          <w:rFonts w:ascii="Times New Roman" w:eastAsia="SimSun" w:hAnsi="Times New Roman" w:cs="Mangal"/>
          <w:kern w:val="2"/>
          <w:sz w:val="24"/>
          <w:szCs w:val="24"/>
          <w:lang w:eastAsia="hi-IN" w:bidi="hi-IN"/>
        </w:rPr>
        <w:br/>
        <w:t>649 interních auditorů z celkového počtu prošlo základním kurzem, 17 interních auditorů je držiteli mezinárodní certifikace interního auditu. Oproti předchozímu období, kdy pokračovala klesající tendence, v roce 2014 opět mírně vzrostl počet interních auditorů, v rámci územní samosprávy o 1 a v rámci státní správy o 13 auditorů.</w:t>
      </w:r>
    </w:p>
    <w:p w:rsidR="00F27B03" w:rsidRDefault="00F27B03" w:rsidP="002806E2">
      <w:pPr>
        <w:widowControl w:val="0"/>
        <w:tabs>
          <w:tab w:val="left" w:pos="709"/>
        </w:tabs>
        <w:suppressAutoHyphens/>
        <w:rPr>
          <w:rFonts w:ascii="Times New Roman" w:eastAsia="SimSun" w:hAnsi="Times New Roman" w:cs="Mangal"/>
          <w:kern w:val="2"/>
          <w:sz w:val="24"/>
          <w:szCs w:val="24"/>
          <w:lang w:eastAsia="hi-IN" w:bidi="hi-IN"/>
        </w:rPr>
      </w:pPr>
    </w:p>
    <w:p w:rsidR="00F27B03" w:rsidRDefault="00F27B03" w:rsidP="002806E2">
      <w:pPr>
        <w:widowControl w:val="0"/>
        <w:tabs>
          <w:tab w:val="left" w:pos="709"/>
        </w:tabs>
        <w:suppressAutoHyphens/>
        <w:rPr>
          <w:rFonts w:ascii="Times New Roman" w:eastAsia="SimSun" w:hAnsi="Times New Roman" w:cs="Mangal"/>
          <w:kern w:val="2"/>
          <w:sz w:val="24"/>
          <w:szCs w:val="24"/>
          <w:lang w:eastAsia="hi-IN" w:bidi="hi-IN"/>
        </w:rPr>
      </w:pPr>
    </w:p>
    <w:p w:rsidR="00F27B03" w:rsidRDefault="00F27B03" w:rsidP="002806E2">
      <w:pPr>
        <w:widowControl w:val="0"/>
        <w:tabs>
          <w:tab w:val="left" w:pos="709"/>
        </w:tabs>
        <w:suppressAutoHyphens/>
        <w:rPr>
          <w:rFonts w:ascii="Times New Roman" w:eastAsia="SimSun" w:hAnsi="Times New Roman" w:cs="Mangal"/>
          <w:kern w:val="2"/>
          <w:sz w:val="24"/>
          <w:szCs w:val="24"/>
          <w:lang w:eastAsia="hi-IN" w:bidi="hi-I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59"/>
        <w:gridCol w:w="1275"/>
        <w:gridCol w:w="1276"/>
        <w:gridCol w:w="1443"/>
        <w:gridCol w:w="1843"/>
        <w:gridCol w:w="2126"/>
      </w:tblGrid>
      <w:tr w:rsidR="00F27B03" w:rsidRPr="00702991" w:rsidTr="00702991">
        <w:trPr>
          <w:trHeight w:val="158"/>
          <w:jc w:val="center"/>
        </w:trPr>
        <w:tc>
          <w:tcPr>
            <w:tcW w:w="959" w:type="dxa"/>
            <w:vMerge w:val="restart"/>
            <w:tcBorders>
              <w:top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lastRenderedPageBreak/>
              <w:t>Rok</w:t>
            </w:r>
          </w:p>
        </w:tc>
        <w:tc>
          <w:tcPr>
            <w:tcW w:w="7796" w:type="dxa"/>
            <w:gridSpan w:val="5"/>
            <w:tcBorders>
              <w:top w:val="single" w:sz="12" w:space="0" w:color="auto"/>
              <w:bottom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Počet interních auditorů</w:t>
            </w:r>
          </w:p>
        </w:tc>
      </w:tr>
      <w:tr w:rsidR="00F27B03" w:rsidRPr="00702991" w:rsidTr="00702991">
        <w:trPr>
          <w:trHeight w:hRule="exact" w:val="601"/>
          <w:jc w:val="center"/>
        </w:trPr>
        <w:tc>
          <w:tcPr>
            <w:tcW w:w="959" w:type="dxa"/>
            <w:vMerge/>
            <w:tcBorders>
              <w:bottom w:val="single" w:sz="12" w:space="0" w:color="auto"/>
              <w:right w:val="single" w:sz="12" w:space="0" w:color="auto"/>
            </w:tcBorders>
            <w:vAlign w:val="center"/>
          </w:tcPr>
          <w:p w:rsidR="00F27B03" w:rsidRPr="00702991" w:rsidRDefault="00F27B03" w:rsidP="00702991">
            <w:pPr>
              <w:widowControl w:val="0"/>
              <w:tabs>
                <w:tab w:val="left" w:pos="709"/>
              </w:tabs>
              <w:suppressAutoHyphens/>
              <w:jc w:val="center"/>
              <w:rPr>
                <w:rFonts w:ascii="Times New Roman" w:eastAsia="SimSun" w:hAnsi="Times New Roman" w:cs="Mangal"/>
                <w:b/>
                <w:kern w:val="2"/>
                <w:sz w:val="24"/>
                <w:szCs w:val="24"/>
                <w:lang w:eastAsia="hi-IN" w:bidi="hi-IN"/>
              </w:rPr>
            </w:pPr>
          </w:p>
        </w:tc>
        <w:tc>
          <w:tcPr>
            <w:tcW w:w="1275" w:type="dxa"/>
            <w:tcBorders>
              <w:top w:val="single" w:sz="12" w:space="0" w:color="auto"/>
              <w:left w:val="single" w:sz="12" w:space="0" w:color="auto"/>
              <w:bottom w:val="single" w:sz="12" w:space="0" w:color="auto"/>
            </w:tcBorders>
            <w:vAlign w:val="center"/>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Celkem</w:t>
            </w:r>
          </w:p>
        </w:tc>
        <w:tc>
          <w:tcPr>
            <w:tcW w:w="1276" w:type="dxa"/>
            <w:tcBorders>
              <w:top w:val="single" w:sz="12" w:space="0" w:color="auto"/>
              <w:bottom w:val="single" w:sz="12" w:space="0" w:color="auto"/>
            </w:tcBorders>
            <w:vAlign w:val="center"/>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Státní správa</w:t>
            </w:r>
          </w:p>
        </w:tc>
        <w:tc>
          <w:tcPr>
            <w:tcW w:w="1276" w:type="dxa"/>
            <w:tcBorders>
              <w:top w:val="single" w:sz="12" w:space="0" w:color="auto"/>
              <w:bottom w:val="single" w:sz="12" w:space="0" w:color="auto"/>
              <w:right w:val="single" w:sz="12" w:space="0" w:color="auto"/>
            </w:tcBorders>
            <w:vAlign w:val="center"/>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Územní samospráva</w:t>
            </w:r>
          </w:p>
        </w:tc>
        <w:tc>
          <w:tcPr>
            <w:tcW w:w="1843" w:type="dxa"/>
            <w:tcBorders>
              <w:top w:val="single" w:sz="12" w:space="0" w:color="auto"/>
              <w:left w:val="single" w:sz="12" w:space="0" w:color="auto"/>
              <w:bottom w:val="single" w:sz="12" w:space="0" w:color="auto"/>
            </w:tcBorders>
            <w:vAlign w:val="center"/>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Se základním kurzem</w:t>
            </w:r>
          </w:p>
        </w:tc>
        <w:tc>
          <w:tcPr>
            <w:tcW w:w="2126" w:type="dxa"/>
            <w:tcBorders>
              <w:top w:val="single" w:sz="12" w:space="0" w:color="auto"/>
              <w:bottom w:val="single" w:sz="12" w:space="0" w:color="auto"/>
            </w:tcBorders>
            <w:vAlign w:val="center"/>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b/>
                <w:kern w:val="2"/>
                <w:sz w:val="24"/>
                <w:szCs w:val="24"/>
                <w:lang w:eastAsia="hi-IN" w:bidi="hi-IN"/>
              </w:rPr>
            </w:pPr>
            <w:r w:rsidRPr="00702991">
              <w:rPr>
                <w:rFonts w:ascii="Times New Roman" w:eastAsia="SimSun" w:hAnsi="Times New Roman" w:cs="Mangal"/>
                <w:b/>
                <w:kern w:val="2"/>
                <w:sz w:val="24"/>
                <w:szCs w:val="24"/>
                <w:lang w:eastAsia="hi-IN" w:bidi="hi-IN"/>
              </w:rPr>
              <w:t>S mezinárodním certifikátem</w:t>
            </w:r>
          </w:p>
        </w:tc>
      </w:tr>
      <w:tr w:rsidR="00F27B03" w:rsidRPr="00702991" w:rsidTr="00702991">
        <w:trPr>
          <w:trHeight w:hRule="exact" w:val="340"/>
          <w:jc w:val="center"/>
        </w:trPr>
        <w:tc>
          <w:tcPr>
            <w:tcW w:w="959" w:type="dxa"/>
            <w:tcBorders>
              <w:top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2010</w:t>
            </w:r>
          </w:p>
        </w:tc>
        <w:tc>
          <w:tcPr>
            <w:tcW w:w="1275" w:type="dxa"/>
            <w:tcBorders>
              <w:top w:val="single" w:sz="12" w:space="0" w:color="auto"/>
            </w:tcBorders>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941</w:t>
            </w:r>
          </w:p>
        </w:tc>
        <w:tc>
          <w:tcPr>
            <w:tcW w:w="1276" w:type="dxa"/>
            <w:tcBorders>
              <w:top w:val="single" w:sz="12" w:space="0" w:color="auto"/>
            </w:tcBorders>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528</w:t>
            </w:r>
          </w:p>
        </w:tc>
        <w:tc>
          <w:tcPr>
            <w:tcW w:w="1276" w:type="dxa"/>
            <w:tcBorders>
              <w:top w:val="single" w:sz="12" w:space="0" w:color="auto"/>
            </w:tcBorders>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407</w:t>
            </w:r>
          </w:p>
        </w:tc>
        <w:tc>
          <w:tcPr>
            <w:tcW w:w="1843" w:type="dxa"/>
            <w:tcBorders>
              <w:top w:val="single" w:sz="12" w:space="0" w:color="auto"/>
            </w:tcBorders>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683</w:t>
            </w:r>
          </w:p>
        </w:tc>
        <w:tc>
          <w:tcPr>
            <w:tcW w:w="2126" w:type="dxa"/>
            <w:tcBorders>
              <w:top w:val="single" w:sz="12" w:space="0" w:color="auto"/>
            </w:tcBorders>
          </w:tcPr>
          <w:p w:rsidR="00F27B03" w:rsidRPr="00702991" w:rsidRDefault="00F27B03" w:rsidP="00702991">
            <w:pPr>
              <w:widowControl w:val="0"/>
              <w:tabs>
                <w:tab w:val="left" w:pos="709"/>
              </w:tabs>
              <w:suppressAutoHyphens/>
              <w:spacing w:after="0" w:line="240" w:lineRule="auto"/>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w:t>
            </w:r>
          </w:p>
        </w:tc>
      </w:tr>
      <w:tr w:rsidR="00F27B03" w:rsidRPr="00702991" w:rsidTr="00702991">
        <w:trPr>
          <w:trHeight w:hRule="exact" w:val="340"/>
          <w:jc w:val="center"/>
        </w:trPr>
        <w:tc>
          <w:tcPr>
            <w:tcW w:w="959"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2011</w:t>
            </w:r>
          </w:p>
        </w:tc>
        <w:tc>
          <w:tcPr>
            <w:tcW w:w="1275"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892</w:t>
            </w:r>
          </w:p>
        </w:tc>
        <w:tc>
          <w:tcPr>
            <w:tcW w:w="127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491</w:t>
            </w:r>
          </w:p>
        </w:tc>
        <w:tc>
          <w:tcPr>
            <w:tcW w:w="127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401</w:t>
            </w:r>
          </w:p>
        </w:tc>
        <w:tc>
          <w:tcPr>
            <w:tcW w:w="1843"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654</w:t>
            </w:r>
          </w:p>
        </w:tc>
        <w:tc>
          <w:tcPr>
            <w:tcW w:w="212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26</w:t>
            </w:r>
          </w:p>
        </w:tc>
      </w:tr>
      <w:tr w:rsidR="00F27B03" w:rsidRPr="00702991" w:rsidTr="00702991">
        <w:trPr>
          <w:trHeight w:hRule="exact" w:val="340"/>
          <w:jc w:val="center"/>
        </w:trPr>
        <w:tc>
          <w:tcPr>
            <w:tcW w:w="959"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2012</w:t>
            </w:r>
          </w:p>
        </w:tc>
        <w:tc>
          <w:tcPr>
            <w:tcW w:w="1275"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876</w:t>
            </w:r>
          </w:p>
        </w:tc>
        <w:tc>
          <w:tcPr>
            <w:tcW w:w="127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467</w:t>
            </w:r>
          </w:p>
        </w:tc>
        <w:tc>
          <w:tcPr>
            <w:tcW w:w="127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399</w:t>
            </w:r>
          </w:p>
        </w:tc>
        <w:tc>
          <w:tcPr>
            <w:tcW w:w="1843"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654</w:t>
            </w:r>
          </w:p>
        </w:tc>
        <w:tc>
          <w:tcPr>
            <w:tcW w:w="212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19</w:t>
            </w:r>
          </w:p>
        </w:tc>
      </w:tr>
      <w:tr w:rsidR="00F27B03" w:rsidRPr="00702991" w:rsidTr="00702991">
        <w:trPr>
          <w:trHeight w:hRule="exact" w:val="340"/>
          <w:jc w:val="center"/>
        </w:trPr>
        <w:tc>
          <w:tcPr>
            <w:tcW w:w="959"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2013</w:t>
            </w:r>
          </w:p>
        </w:tc>
        <w:tc>
          <w:tcPr>
            <w:tcW w:w="1275"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855</w:t>
            </w:r>
          </w:p>
        </w:tc>
        <w:tc>
          <w:tcPr>
            <w:tcW w:w="127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444</w:t>
            </w:r>
          </w:p>
        </w:tc>
        <w:tc>
          <w:tcPr>
            <w:tcW w:w="127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401</w:t>
            </w:r>
          </w:p>
        </w:tc>
        <w:tc>
          <w:tcPr>
            <w:tcW w:w="1843"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633</w:t>
            </w:r>
          </w:p>
        </w:tc>
        <w:tc>
          <w:tcPr>
            <w:tcW w:w="2126" w:type="dxa"/>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18</w:t>
            </w:r>
          </w:p>
        </w:tc>
      </w:tr>
      <w:tr w:rsidR="00F27B03" w:rsidRPr="00702991" w:rsidTr="00702991">
        <w:trPr>
          <w:trHeight w:hRule="exact" w:val="340"/>
          <w:jc w:val="center"/>
        </w:trPr>
        <w:tc>
          <w:tcPr>
            <w:tcW w:w="959"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2014</w:t>
            </w:r>
          </w:p>
        </w:tc>
        <w:tc>
          <w:tcPr>
            <w:tcW w:w="1275"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868</w:t>
            </w:r>
          </w:p>
        </w:tc>
        <w:tc>
          <w:tcPr>
            <w:tcW w:w="1276"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457</w:t>
            </w:r>
          </w:p>
        </w:tc>
        <w:tc>
          <w:tcPr>
            <w:tcW w:w="1276"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402</w:t>
            </w:r>
          </w:p>
        </w:tc>
        <w:tc>
          <w:tcPr>
            <w:tcW w:w="1843"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649</w:t>
            </w:r>
          </w:p>
        </w:tc>
        <w:tc>
          <w:tcPr>
            <w:tcW w:w="2126" w:type="dxa"/>
            <w:tcBorders>
              <w:bottom w:val="single" w:sz="12" w:space="0" w:color="auto"/>
            </w:tcBorders>
          </w:tcPr>
          <w:p w:rsidR="00F27B03" w:rsidRPr="00702991" w:rsidRDefault="00F27B03" w:rsidP="00702991">
            <w:pPr>
              <w:widowControl w:val="0"/>
              <w:tabs>
                <w:tab w:val="left" w:pos="709"/>
              </w:tabs>
              <w:suppressAutoHyphens/>
              <w:jc w:val="center"/>
              <w:rPr>
                <w:rFonts w:ascii="Times New Roman" w:eastAsia="SimSun" w:hAnsi="Times New Roman" w:cs="Mangal"/>
                <w:kern w:val="2"/>
                <w:sz w:val="24"/>
                <w:szCs w:val="24"/>
                <w:lang w:eastAsia="hi-IN" w:bidi="hi-IN"/>
              </w:rPr>
            </w:pPr>
            <w:r w:rsidRPr="00702991">
              <w:rPr>
                <w:rFonts w:ascii="Times New Roman" w:eastAsia="SimSun" w:hAnsi="Times New Roman" w:cs="Mangal"/>
                <w:kern w:val="2"/>
                <w:sz w:val="24"/>
                <w:szCs w:val="24"/>
                <w:lang w:eastAsia="hi-IN" w:bidi="hi-IN"/>
              </w:rPr>
              <w:t>17</w:t>
            </w:r>
          </w:p>
        </w:tc>
      </w:tr>
    </w:tbl>
    <w:p w:rsidR="00F27B03" w:rsidRPr="002806E2" w:rsidRDefault="00F27B03" w:rsidP="002806E2">
      <w:pPr>
        <w:widowControl w:val="0"/>
        <w:tabs>
          <w:tab w:val="left" w:pos="709"/>
        </w:tabs>
        <w:suppressAutoHyphens/>
        <w:rPr>
          <w:rFonts w:ascii="Times New Roman" w:eastAsia="SimSun" w:hAnsi="Times New Roman" w:cs="Mangal"/>
          <w:kern w:val="2"/>
          <w:sz w:val="24"/>
          <w:szCs w:val="24"/>
          <w:lang w:eastAsia="hi-IN" w:bidi="hi-IN"/>
        </w:rPr>
      </w:pPr>
    </w:p>
    <w:p w:rsidR="00F27B03" w:rsidRPr="006C6C69" w:rsidRDefault="00F27B03" w:rsidP="006C6C69">
      <w:pPr>
        <w:widowControl w:val="0"/>
        <w:tabs>
          <w:tab w:val="left" w:pos="709"/>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 xml:space="preserve"> Útvary interního auditu v roce 2014 prováděly nejenom interní audity, ale zajišťovaly i konzultační a poradenskou činnost, podílely se na přípravě vnitřních předpisů k problematice vnitřní kontroly, vzdělávání zaměstnanců k problematice vnitřní kontroly, ale také se podílely na připomínkovém řízení ostatních vnitřních předpisů orgánů veřejné správy. V mnoha orgánech veřejné správy byla do útvaru interního auditu začleněna i agenda stížností. </w:t>
      </w:r>
    </w:p>
    <w:p w:rsidR="00F27B03" w:rsidRPr="00427314" w:rsidRDefault="00F27B03" w:rsidP="00427314">
      <w:pPr>
        <w:widowControl w:val="0"/>
        <w:tabs>
          <w:tab w:val="left" w:pos="709"/>
        </w:tabs>
        <w:suppressAutoHyphens/>
        <w:ind w:left="720" w:hanging="720"/>
        <w:rPr>
          <w:rFonts w:ascii="Times New Roman" w:eastAsia="SimSun" w:hAnsi="Times New Roman" w:cs="Mangal"/>
          <w:kern w:val="2"/>
          <w:sz w:val="24"/>
          <w:szCs w:val="24"/>
          <w:lang w:eastAsia="hi-IN" w:bidi="hi-IN"/>
        </w:rPr>
      </w:pPr>
    </w:p>
    <w:p w:rsidR="00F27B03" w:rsidRPr="008D6625" w:rsidRDefault="00F27B03" w:rsidP="008D6625">
      <w:pPr>
        <w:widowControl w:val="0"/>
        <w:numPr>
          <w:ilvl w:val="0"/>
          <w:numId w:val="6"/>
        </w:numPr>
        <w:tabs>
          <w:tab w:val="clear" w:pos="720"/>
          <w:tab w:val="left" w:pos="709"/>
        </w:tabs>
        <w:suppressAutoHyphens/>
        <w:ind w:hanging="720"/>
        <w:rPr>
          <w:rFonts w:ascii="Times New Roman" w:eastAsia="SimSun" w:hAnsi="Times New Roman" w:cs="Mangal"/>
          <w:kern w:val="2"/>
          <w:sz w:val="28"/>
          <w:szCs w:val="28"/>
          <w:lang w:eastAsia="hi-IN" w:bidi="hi-IN"/>
        </w:rPr>
      </w:pPr>
      <w:r w:rsidRPr="00427314">
        <w:rPr>
          <w:rFonts w:ascii="Times New Roman" w:eastAsia="SimSun" w:hAnsi="Times New Roman" w:cs="Mangal"/>
          <w:b/>
          <w:bCs/>
          <w:kern w:val="2"/>
          <w:sz w:val="28"/>
          <w:szCs w:val="28"/>
          <w:lang w:eastAsia="hi-IN" w:bidi="hi-IN"/>
        </w:rPr>
        <w:t>Ochrana proti podvodnému jednání, spolupráce s Evropským úřadem pro boj proti podvodům</w:t>
      </w:r>
    </w:p>
    <w:p w:rsidR="00F27B03" w:rsidRPr="003E71C1" w:rsidRDefault="00F27B03" w:rsidP="003E71C1">
      <w:pPr>
        <w:spacing w:after="200"/>
        <w:rPr>
          <w:rFonts w:ascii="Times New Roman" w:hAnsi="Times New Roman" w:cs="TimesNewRomanPSMT"/>
          <w:b/>
          <w:sz w:val="24"/>
          <w:szCs w:val="24"/>
          <w:lang w:eastAsia="cs-CZ"/>
        </w:rPr>
      </w:pPr>
      <w:r w:rsidRPr="003E71C1">
        <w:rPr>
          <w:rFonts w:ascii="Times New Roman" w:hAnsi="Times New Roman" w:cs="TimesNewRomanPSMT"/>
          <w:b/>
          <w:sz w:val="24"/>
          <w:szCs w:val="24"/>
          <w:lang w:eastAsia="cs-CZ"/>
        </w:rPr>
        <w:t>Spolupráce s Evropským úřadem pro boj proti podvodům (OLAF)</w:t>
      </w:r>
    </w:p>
    <w:p w:rsidR="00F27B03" w:rsidRPr="003E71C1" w:rsidRDefault="00F27B03" w:rsidP="008D6625">
      <w:pPr>
        <w:spacing w:after="0"/>
        <w:ind w:firstLine="708"/>
        <w:rPr>
          <w:rFonts w:ascii="Times New Roman" w:hAnsi="Times New Roman"/>
          <w:sz w:val="24"/>
          <w:szCs w:val="24"/>
          <w:lang w:eastAsia="cs-CZ"/>
        </w:rPr>
      </w:pPr>
      <w:r w:rsidRPr="003E71C1">
        <w:rPr>
          <w:rFonts w:ascii="Times New Roman" w:hAnsi="Times New Roman" w:cs="TimesNewRomanPSMT"/>
          <w:sz w:val="24"/>
          <w:szCs w:val="24"/>
          <w:lang w:eastAsia="cs-CZ"/>
        </w:rPr>
        <w:t xml:space="preserve">V roce 2014 zasílal Centrální kontaktní bod sítě AFCOS prostřednictvím informačního </w:t>
      </w:r>
      <w:r w:rsidRPr="003E71C1">
        <w:rPr>
          <w:rFonts w:ascii="Times New Roman" w:hAnsi="Times New Roman"/>
          <w:sz w:val="24"/>
          <w:szCs w:val="24"/>
          <w:lang w:eastAsia="cs-CZ"/>
        </w:rPr>
        <w:t xml:space="preserve">systému „IMS“ (Irregularities Management System – Systém řízení nesrovnalostí) hlášení případů nesrovnalostí zjištěných v rámci implementace strukturálních fondů, Fondu soudržnosti, fondů společné zemědělské politiky, Evropského rybářského fondu </w:t>
      </w:r>
      <w:r>
        <w:rPr>
          <w:rFonts w:ascii="Times New Roman" w:hAnsi="Times New Roman"/>
          <w:sz w:val="24"/>
          <w:szCs w:val="24"/>
          <w:lang w:eastAsia="cs-CZ"/>
        </w:rPr>
        <w:br/>
      </w:r>
      <w:r w:rsidRPr="003E71C1">
        <w:rPr>
          <w:rFonts w:ascii="Times New Roman" w:hAnsi="Times New Roman"/>
          <w:sz w:val="24"/>
          <w:szCs w:val="24"/>
          <w:lang w:eastAsia="cs-CZ"/>
        </w:rPr>
        <w:t xml:space="preserve">a předvstupních nástrojů (PHARE a SAPARD) </w:t>
      </w:r>
      <w:r w:rsidRPr="003E71C1">
        <w:rPr>
          <w:rFonts w:ascii="Times New Roman" w:hAnsi="Times New Roman" w:cs="TimesNewRomanPSMT"/>
          <w:sz w:val="24"/>
          <w:szCs w:val="24"/>
          <w:lang w:eastAsia="cs-CZ"/>
        </w:rPr>
        <w:t>Evropské komisi – Evropskému úřadu pro boj proti podvodům (dále jen „OLAF“)</w:t>
      </w:r>
      <w:r w:rsidRPr="003E71C1">
        <w:rPr>
          <w:rFonts w:ascii="Times New Roman" w:hAnsi="Times New Roman"/>
          <w:sz w:val="24"/>
          <w:szCs w:val="24"/>
          <w:lang w:eastAsia="cs-CZ"/>
        </w:rPr>
        <w:t xml:space="preserve">. U programového období 2004 – 2006 bylo v roce 2014 na vnější úrovni nahlášeno </w:t>
      </w:r>
      <w:r w:rsidRPr="003E71C1">
        <w:rPr>
          <w:rFonts w:ascii="Times New Roman" w:hAnsi="Times New Roman"/>
          <w:b/>
          <w:sz w:val="24"/>
          <w:szCs w:val="24"/>
          <w:lang w:eastAsia="cs-CZ"/>
        </w:rPr>
        <w:t>11</w:t>
      </w:r>
      <w:r w:rsidRPr="003E71C1">
        <w:rPr>
          <w:rFonts w:ascii="Times New Roman" w:hAnsi="Times New Roman"/>
          <w:sz w:val="24"/>
          <w:szCs w:val="24"/>
          <w:lang w:eastAsia="cs-CZ"/>
        </w:rPr>
        <w:t xml:space="preserve"> nových nesrovnalostí s celkovou částkou dotčenou nesrovnalostí ve výši </w:t>
      </w:r>
      <w:r w:rsidRPr="003E71C1">
        <w:rPr>
          <w:rFonts w:ascii="Times New Roman" w:hAnsi="Times New Roman"/>
          <w:b/>
          <w:sz w:val="24"/>
          <w:szCs w:val="24"/>
          <w:lang w:eastAsia="cs-CZ"/>
        </w:rPr>
        <w:t>14 424 217</w:t>
      </w:r>
      <w:r w:rsidRPr="003E71C1">
        <w:rPr>
          <w:rFonts w:ascii="Times New Roman" w:hAnsi="Times New Roman"/>
          <w:sz w:val="24"/>
          <w:szCs w:val="24"/>
          <w:lang w:eastAsia="cs-CZ"/>
        </w:rPr>
        <w:t xml:space="preserve"> €. Pokud jde o programové období 2007 – 2013, bylo úřadu OLAF v roce 2014 zasláno celkem </w:t>
      </w:r>
      <w:r w:rsidRPr="003E71C1">
        <w:rPr>
          <w:rFonts w:ascii="Times New Roman" w:hAnsi="Times New Roman"/>
          <w:b/>
          <w:sz w:val="24"/>
          <w:szCs w:val="24"/>
          <w:lang w:eastAsia="cs-CZ"/>
        </w:rPr>
        <w:t>1 063</w:t>
      </w:r>
      <w:r w:rsidRPr="003E71C1">
        <w:rPr>
          <w:rFonts w:ascii="Times New Roman" w:hAnsi="Times New Roman"/>
          <w:sz w:val="24"/>
          <w:szCs w:val="24"/>
          <w:lang w:eastAsia="cs-CZ"/>
        </w:rPr>
        <w:t xml:space="preserve"> nových hlášení nesrovnalostí v celkové výši dotčené částky </w:t>
      </w:r>
      <w:r w:rsidRPr="003E71C1">
        <w:rPr>
          <w:rFonts w:ascii="Times New Roman" w:hAnsi="Times New Roman"/>
          <w:b/>
          <w:sz w:val="24"/>
          <w:szCs w:val="24"/>
          <w:lang w:eastAsia="cs-CZ"/>
        </w:rPr>
        <w:t>315 771 328</w:t>
      </w:r>
      <w:r w:rsidRPr="003E71C1">
        <w:rPr>
          <w:rFonts w:ascii="Times New Roman" w:hAnsi="Times New Roman"/>
          <w:sz w:val="24"/>
          <w:szCs w:val="24"/>
          <w:lang w:eastAsia="cs-CZ"/>
        </w:rPr>
        <w:t xml:space="preserve"> €. V souvislosti s předvstupními nástroji nebyla úřadu OLAF nahl</w:t>
      </w:r>
      <w:r>
        <w:rPr>
          <w:rFonts w:ascii="Times New Roman" w:hAnsi="Times New Roman"/>
          <w:sz w:val="24"/>
          <w:szCs w:val="24"/>
          <w:lang w:eastAsia="cs-CZ"/>
        </w:rPr>
        <w:t xml:space="preserve">ášena žádná nová nesrovnalost. </w:t>
      </w:r>
    </w:p>
    <w:p w:rsidR="00F27B03" w:rsidRPr="003E71C1" w:rsidRDefault="00F27B03" w:rsidP="003E71C1">
      <w:pPr>
        <w:spacing w:after="0"/>
        <w:ind w:firstLine="708"/>
        <w:rPr>
          <w:rFonts w:ascii="Times New Roman" w:hAnsi="Times New Roman" w:cs="TimesNewRomanPSMT"/>
          <w:b/>
          <w:sz w:val="36"/>
          <w:szCs w:val="36"/>
          <w:lang w:eastAsia="cs-CZ"/>
        </w:rPr>
      </w:pPr>
      <w:r w:rsidRPr="003E71C1">
        <w:rPr>
          <w:rFonts w:ascii="Times New Roman" w:hAnsi="Times New Roman" w:cs="TimesNewRomanPSMT"/>
          <w:sz w:val="24"/>
          <w:szCs w:val="24"/>
          <w:lang w:eastAsia="cs-CZ"/>
        </w:rPr>
        <w:t xml:space="preserve">Roli koordinační služby pro boj proti podvodům dle Nařízení Evropského parlamentu a Rady č. 883/2013 plní v České republice Centrální kontaktní bod sítě AFCOS. Zabývá se pouze administrativně – správní oblastí. Jako národní partner Úřadu boje proti podvodům EK – OLAF napomáhá účinné spolupráci a výměně informací včetně informací operační povahy. </w:t>
      </w:r>
      <w:r w:rsidRPr="003E71C1">
        <w:rPr>
          <w:rFonts w:ascii="Times New Roman" w:hAnsi="Times New Roman" w:cs="TimesNewRomanPSMT"/>
          <w:sz w:val="24"/>
          <w:szCs w:val="24"/>
          <w:lang w:eastAsia="cs-CZ"/>
        </w:rPr>
        <w:lastRenderedPageBreak/>
        <w:t xml:space="preserve">Centrální kontaktní bod sítě AFCOS též aktivně spolupracoval v oblasti vyžádání dokumentace k projektům vyšetřovaným zástupci tohoto již zmíněného úřadu. </w:t>
      </w:r>
      <w:r w:rsidRPr="003E71C1">
        <w:rPr>
          <w:rFonts w:ascii="Times New Roman" w:hAnsi="Times New Roman"/>
          <w:sz w:val="24"/>
          <w:szCs w:val="24"/>
          <w:lang w:eastAsia="cs-CZ"/>
        </w:rPr>
        <w:t xml:space="preserve">Od roku 2009 Úřad EK – OLAF požádal prostřednictvím Centrálního kontaktního bodu sítě AFCOS Českou republiku o dokumentaci či specifické podklady k celkem 39 případům. V současné době stále ještě probíhá aktivní vyšetřování u 4 z nich. V roce 2014 byla prostřednictvím </w:t>
      </w:r>
      <w:r w:rsidRPr="003E71C1">
        <w:rPr>
          <w:rFonts w:ascii="Times New Roman" w:hAnsi="Times New Roman" w:cs="TimesNewRomanPSMT"/>
          <w:sz w:val="24"/>
          <w:szCs w:val="24"/>
          <w:lang w:eastAsia="cs-CZ"/>
        </w:rPr>
        <w:t xml:space="preserve">Centrálního kontaktního bodu sítě AFCOS </w:t>
      </w:r>
      <w:r w:rsidRPr="003E71C1">
        <w:rPr>
          <w:rFonts w:ascii="Times New Roman" w:hAnsi="Times New Roman"/>
          <w:sz w:val="24"/>
          <w:szCs w:val="24"/>
          <w:lang w:eastAsia="cs-CZ"/>
        </w:rPr>
        <w:t>nově vyžádána dokumentace k celkem 4 dalším projektům za účelem detailního prošetření – u 3 těchto nově vyhodnocovaných projektů stále nebyla poskytnuta zpětná vazba úřadem EK – OLAF. Nejvyššímu státnímu zastupitelství, které plní roli výlučného kontaktního bodu sítě AFCOS v trestně – právní oblasti a</w:t>
      </w:r>
      <w:r>
        <w:rPr>
          <w:rFonts w:ascii="Times New Roman" w:hAnsi="Times New Roman"/>
          <w:sz w:val="24"/>
          <w:szCs w:val="24"/>
          <w:lang w:eastAsia="cs-CZ"/>
        </w:rPr>
        <w:t> </w:t>
      </w:r>
      <w:r w:rsidRPr="003E71C1">
        <w:rPr>
          <w:rFonts w:ascii="Times New Roman" w:hAnsi="Times New Roman"/>
          <w:sz w:val="24"/>
          <w:szCs w:val="24"/>
          <w:lang w:eastAsia="cs-CZ"/>
        </w:rPr>
        <w:t xml:space="preserve">Policejnímu prezídiu ČR byly předány 2 podněty k prošetření. Úřad EK – OLAF provedl kontrolu na místě u jednoho projektu. U těchto šetření aktivně spolupracovali zástupci Centrálního kontaktního bodu sítě AFCOS. </w:t>
      </w:r>
    </w:p>
    <w:p w:rsidR="00F27B03" w:rsidRPr="003E71C1" w:rsidRDefault="00F27B03" w:rsidP="008D6625">
      <w:pPr>
        <w:rPr>
          <w:rFonts w:ascii="Times New Roman" w:hAnsi="Times New Roman"/>
          <w:b/>
          <w:sz w:val="24"/>
          <w:szCs w:val="24"/>
          <w:lang w:eastAsia="cs-CZ"/>
        </w:rPr>
      </w:pPr>
    </w:p>
    <w:p w:rsidR="00F27B03" w:rsidRPr="003E71C1" w:rsidRDefault="00F27B03" w:rsidP="003E71C1">
      <w:pPr>
        <w:spacing w:after="200"/>
        <w:rPr>
          <w:rFonts w:ascii="Times New Roman" w:hAnsi="Times New Roman"/>
          <w:b/>
          <w:sz w:val="24"/>
          <w:szCs w:val="24"/>
          <w:lang w:eastAsia="cs-CZ"/>
        </w:rPr>
      </w:pPr>
      <w:r w:rsidRPr="003E71C1">
        <w:rPr>
          <w:rFonts w:ascii="Times New Roman" w:hAnsi="Times New Roman"/>
          <w:b/>
          <w:sz w:val="24"/>
          <w:szCs w:val="24"/>
          <w:lang w:eastAsia="cs-CZ"/>
        </w:rPr>
        <w:t>Spolupráce s Evropskou komisí, Radou EU a DG</w:t>
      </w:r>
    </w:p>
    <w:p w:rsidR="00F27B03" w:rsidRPr="003E71C1" w:rsidRDefault="00F27B03" w:rsidP="003E71C1">
      <w:pPr>
        <w:autoSpaceDE w:val="0"/>
        <w:autoSpaceDN w:val="0"/>
        <w:adjustRightInd w:val="0"/>
        <w:spacing w:after="0"/>
        <w:ind w:firstLine="708"/>
        <w:rPr>
          <w:rFonts w:ascii="Times New Roman" w:hAnsi="Times New Roman"/>
          <w:sz w:val="24"/>
          <w:szCs w:val="24"/>
          <w:lang w:eastAsia="cs-CZ"/>
        </w:rPr>
      </w:pPr>
      <w:r w:rsidRPr="003E71C1">
        <w:rPr>
          <w:rFonts w:ascii="Times New Roman" w:hAnsi="Times New Roman" w:cs="TimesNewRomanPSMT"/>
          <w:sz w:val="24"/>
          <w:szCs w:val="24"/>
          <w:lang w:eastAsia="cs-CZ"/>
        </w:rPr>
        <w:t>Ministerstvo financí - Centrální kontaktní bod sítě AFCOS</w:t>
      </w:r>
      <w:r w:rsidRPr="003E71C1">
        <w:rPr>
          <w:rFonts w:ascii="Times New Roman" w:hAnsi="Times New Roman"/>
          <w:sz w:val="24"/>
          <w:szCs w:val="24"/>
          <w:lang w:eastAsia="cs-CZ"/>
        </w:rPr>
        <w:t xml:space="preserve"> plní na základě usnesení vlády České republiky č. 941 ze dne 20. července 2009 roli styčného místa pro ústřední databázi pro vyloučení v souladu s nařízením Komise (ES, Euratom) č. 1302/2008. Z nařízení vyplývá povinnost předávat informace o osobách pravomocně odsouzených za trestné činy poškozující finanční zájmy Evropské unie, resp. o zahlazení odsouzení za takovéto trestné činy. V roce 2014 byl přímo Centrálním kontaktním bodem sítě AFCOS nahlášen Evropské komisi za Českou republiku 1 případ na základě pravomocného rozsudku zaslaného soudem. </w:t>
      </w:r>
    </w:p>
    <w:p w:rsidR="00F27B03" w:rsidRPr="003E71C1" w:rsidRDefault="00F27B03" w:rsidP="003E71C1">
      <w:pPr>
        <w:ind w:firstLine="709"/>
        <w:rPr>
          <w:rFonts w:ascii="Times New Roman" w:hAnsi="Times New Roman"/>
          <w:sz w:val="24"/>
          <w:szCs w:val="24"/>
          <w:lang w:eastAsia="cs-CZ"/>
        </w:rPr>
      </w:pPr>
      <w:r w:rsidRPr="003E71C1">
        <w:rPr>
          <w:rFonts w:ascii="Times New Roman" w:hAnsi="Times New Roman"/>
          <w:sz w:val="24"/>
          <w:szCs w:val="24"/>
          <w:lang w:eastAsia="cs-CZ"/>
        </w:rPr>
        <w:t>Pracovní skupina Rady - D08 – Boj proti podvodům, které se zástupci Centrálního kontaktního bodu sítě AFCOS pravidelně účastní, se za předsednictví Řecka sešla dvakrát</w:t>
      </w:r>
      <w:r>
        <w:rPr>
          <w:rFonts w:ascii="Times New Roman" w:hAnsi="Times New Roman"/>
          <w:sz w:val="24"/>
          <w:szCs w:val="24"/>
          <w:lang w:eastAsia="cs-CZ"/>
        </w:rPr>
        <w:br/>
      </w:r>
      <w:r w:rsidRPr="003E71C1">
        <w:rPr>
          <w:rFonts w:ascii="Times New Roman" w:hAnsi="Times New Roman"/>
          <w:sz w:val="24"/>
          <w:szCs w:val="24"/>
          <w:lang w:eastAsia="cs-CZ"/>
        </w:rPr>
        <w:t>a za předsednictví Itálie pětkrát. Nejvíce diskusí proběhlo k návrhu nařízení Evropského parlamentu a Rady, který</w:t>
      </w:r>
      <w:r>
        <w:rPr>
          <w:rFonts w:ascii="Times New Roman" w:hAnsi="Times New Roman"/>
          <w:sz w:val="24"/>
          <w:szCs w:val="24"/>
          <w:lang w:eastAsia="cs-CZ"/>
        </w:rPr>
        <w:t>m</w:t>
      </w:r>
      <w:r w:rsidRPr="003E71C1">
        <w:rPr>
          <w:rFonts w:ascii="Times New Roman" w:hAnsi="Times New Roman"/>
          <w:sz w:val="24"/>
          <w:szCs w:val="24"/>
          <w:lang w:eastAsia="cs-CZ"/>
        </w:rPr>
        <w:t xml:space="preserve"> se mění nařízení o vyšetřování prováděném Evropským úřadem pro boj proti podvodům (OLAF), pokud jde o vytvoření funkce kontrolora procesních záruk. Cílem revize nařízení OLAF bylo doplnění, dle názoru Evropské Komise chybějícího prvku, kterým je ochrana dodržování procesních záruk osob dotčených vyšetřováním. Zřízení této funkce by umožnilo posílit procesní záruky a nadále respektovat efektivní ochranu finančních zájmů EU. Navíc se jedná o snahu </w:t>
      </w:r>
      <w:r>
        <w:rPr>
          <w:rFonts w:ascii="Times New Roman" w:hAnsi="Times New Roman"/>
          <w:sz w:val="24"/>
          <w:szCs w:val="24"/>
          <w:lang w:eastAsia="cs-CZ"/>
        </w:rPr>
        <w:t>postupně se</w:t>
      </w:r>
      <w:r w:rsidRPr="003E71C1">
        <w:rPr>
          <w:rFonts w:ascii="Times New Roman" w:hAnsi="Times New Roman"/>
          <w:sz w:val="24"/>
          <w:szCs w:val="24"/>
          <w:lang w:eastAsia="cs-CZ"/>
        </w:rPr>
        <w:t xml:space="preserve"> přiblížit k vytvoření Úřadu evropského veřejného žalobce. Tento návrh byl také na pořadu jednání Výboru pro záležitosti EU Senátu České republiky. Senát návrh usnesení k tomuto návrhu přijal. Nakonec byl ale v Radě tento </w:t>
      </w:r>
      <w:r w:rsidRPr="003E71C1">
        <w:rPr>
          <w:rFonts w:ascii="Times New Roman" w:hAnsi="Times New Roman"/>
          <w:sz w:val="24"/>
          <w:szCs w:val="24"/>
          <w:lang w:eastAsia="cs-CZ"/>
        </w:rPr>
        <w:lastRenderedPageBreak/>
        <w:t>návrh téměř všemi delegacemi členských států označen jako předčasný (včetně ČR) a</w:t>
      </w:r>
      <w:r>
        <w:rPr>
          <w:rFonts w:ascii="Times New Roman" w:hAnsi="Times New Roman"/>
          <w:sz w:val="24"/>
          <w:szCs w:val="24"/>
          <w:lang w:eastAsia="cs-CZ"/>
        </w:rPr>
        <w:t> </w:t>
      </w:r>
      <w:r w:rsidRPr="003E71C1">
        <w:rPr>
          <w:rFonts w:ascii="Times New Roman" w:hAnsi="Times New Roman"/>
          <w:sz w:val="24"/>
          <w:szCs w:val="24"/>
          <w:lang w:eastAsia="cs-CZ"/>
        </w:rPr>
        <w:t>odložen, což vzala EK v úvahu.</w:t>
      </w:r>
    </w:p>
    <w:p w:rsidR="00F27B03" w:rsidRPr="003E71C1" w:rsidRDefault="00F27B03" w:rsidP="007D55F3">
      <w:pPr>
        <w:ind w:firstLine="709"/>
        <w:rPr>
          <w:rFonts w:ascii="Times New Roman" w:hAnsi="Times New Roman"/>
          <w:b/>
          <w:sz w:val="36"/>
          <w:szCs w:val="36"/>
          <w:lang w:eastAsia="cs-CZ"/>
        </w:rPr>
      </w:pPr>
      <w:r w:rsidRPr="003E71C1">
        <w:rPr>
          <w:rFonts w:ascii="Times New Roman" w:hAnsi="Times New Roman"/>
          <w:sz w:val="24"/>
          <w:szCs w:val="24"/>
          <w:lang w:eastAsia="cs-CZ"/>
        </w:rPr>
        <w:t xml:space="preserve">V rámci této pracovní skupiny byly mimo jiné projednávány: Zpráva Komise Evropskému parlamentu a Radě – Ochrana finančních zájmů – Boj proti podvodům – Výroční zpráva za rok 2013, Pozměněný návrh nařízení Evropského parlamentu a Rady o vzájemné administrativně – správní pomoci při ochraně finančních zájmů Evropského společenství proti podvodům a jiným protiprávním jednáním, Zpráva Komise Evropskému parlamentu a Radě </w:t>
      </w:r>
      <w:r>
        <w:rPr>
          <w:rFonts w:ascii="Times New Roman" w:hAnsi="Times New Roman"/>
          <w:sz w:val="24"/>
          <w:szCs w:val="24"/>
          <w:lang w:eastAsia="cs-CZ"/>
        </w:rPr>
        <w:br/>
      </w:r>
      <w:r w:rsidRPr="003E71C1">
        <w:rPr>
          <w:rFonts w:ascii="Times New Roman" w:hAnsi="Times New Roman"/>
          <w:sz w:val="24"/>
          <w:szCs w:val="24"/>
          <w:lang w:eastAsia="cs-CZ"/>
        </w:rPr>
        <w:t>o ověřování pravosti euromincí a o manipulaci s euromincemi nezpůsobilými k</w:t>
      </w:r>
      <w:r>
        <w:rPr>
          <w:rFonts w:ascii="Times New Roman" w:hAnsi="Times New Roman"/>
          <w:sz w:val="24"/>
          <w:szCs w:val="24"/>
          <w:lang w:eastAsia="cs-CZ"/>
        </w:rPr>
        <w:t> </w:t>
      </w:r>
      <w:r w:rsidRPr="003E71C1">
        <w:rPr>
          <w:rFonts w:ascii="Times New Roman" w:hAnsi="Times New Roman"/>
          <w:sz w:val="24"/>
          <w:szCs w:val="24"/>
          <w:lang w:eastAsia="cs-CZ"/>
        </w:rPr>
        <w:t>oběhu</w:t>
      </w:r>
      <w:r>
        <w:rPr>
          <w:rFonts w:ascii="Times New Roman" w:hAnsi="Times New Roman"/>
          <w:sz w:val="24"/>
          <w:szCs w:val="24"/>
          <w:lang w:eastAsia="cs-CZ"/>
        </w:rPr>
        <w:t xml:space="preserve"> </w:t>
      </w:r>
      <w:r>
        <w:rPr>
          <w:rFonts w:ascii="Times New Roman" w:hAnsi="Times New Roman"/>
          <w:sz w:val="24"/>
          <w:szCs w:val="24"/>
          <w:lang w:eastAsia="cs-CZ"/>
        </w:rPr>
        <w:br/>
      </w:r>
      <w:r w:rsidRPr="003E71C1">
        <w:rPr>
          <w:rFonts w:ascii="Times New Roman" w:hAnsi="Times New Roman"/>
          <w:sz w:val="24"/>
          <w:szCs w:val="24"/>
          <w:lang w:eastAsia="cs-CZ"/>
        </w:rPr>
        <w:t>a Dotazník Italského předsednictví o užitečnosti právního nástroje pro vzájemnou správní pomoc v boji proti podvodům v oblasti strukturálních fondů. Posledně uvedený Dotazník vyplynul ze závěrů konference na téma „Operativní aspekty boje proti podvodům v oblasti strukturálních fondů“, která se uskutečnila v Římě ve dnech 13. – 14. října 2014. Na této konferenci Českou republiku reprezentovali zástupci z trestněprávní oblasti (Nejvyšší státní zastupitelství a Policejní prezidi</w:t>
      </w:r>
      <w:r>
        <w:rPr>
          <w:rFonts w:ascii="Times New Roman" w:hAnsi="Times New Roman"/>
          <w:sz w:val="24"/>
          <w:szCs w:val="24"/>
          <w:lang w:eastAsia="cs-CZ"/>
        </w:rPr>
        <w:t>um</w:t>
      </w:r>
      <w:r w:rsidRPr="003E71C1">
        <w:rPr>
          <w:rFonts w:ascii="Times New Roman" w:hAnsi="Times New Roman"/>
          <w:sz w:val="24"/>
          <w:szCs w:val="24"/>
          <w:lang w:eastAsia="cs-CZ"/>
        </w:rPr>
        <w:t xml:space="preserve"> ČR). </w:t>
      </w:r>
    </w:p>
    <w:p w:rsidR="00F27B03" w:rsidRPr="003E71C1" w:rsidRDefault="00F27B03" w:rsidP="007D55F3">
      <w:pPr>
        <w:autoSpaceDE w:val="0"/>
        <w:autoSpaceDN w:val="0"/>
        <w:adjustRightInd w:val="0"/>
        <w:ind w:firstLine="709"/>
        <w:rPr>
          <w:rFonts w:ascii="Times New Roman" w:hAnsi="Times New Roman"/>
          <w:sz w:val="24"/>
          <w:szCs w:val="24"/>
          <w:lang w:eastAsia="cs-CZ"/>
        </w:rPr>
      </w:pPr>
    </w:p>
    <w:p w:rsidR="00F27B03" w:rsidRPr="003E71C1" w:rsidRDefault="00F27B03" w:rsidP="003E71C1">
      <w:pPr>
        <w:autoSpaceDE w:val="0"/>
        <w:autoSpaceDN w:val="0"/>
        <w:adjustRightInd w:val="0"/>
        <w:spacing w:after="200"/>
        <w:rPr>
          <w:rFonts w:ascii="Times New Roman" w:hAnsi="Times New Roman"/>
          <w:b/>
          <w:sz w:val="24"/>
          <w:szCs w:val="24"/>
          <w:lang w:eastAsia="cs-CZ"/>
        </w:rPr>
      </w:pPr>
      <w:r w:rsidRPr="003E71C1">
        <w:rPr>
          <w:rFonts w:ascii="Times New Roman" w:hAnsi="Times New Roman"/>
          <w:b/>
          <w:sz w:val="24"/>
          <w:szCs w:val="24"/>
          <w:lang w:eastAsia="cs-CZ"/>
        </w:rPr>
        <w:t>Spolupráce na hlášení nesrovnalostí v rámci Finančních mechanismů EHP/Norsko</w:t>
      </w:r>
    </w:p>
    <w:p w:rsidR="00F27B03" w:rsidRPr="003E71C1" w:rsidRDefault="00F27B03" w:rsidP="003E71C1">
      <w:pPr>
        <w:spacing w:after="0"/>
        <w:ind w:firstLine="708"/>
        <w:rPr>
          <w:rFonts w:ascii="Times New Roman" w:hAnsi="Times New Roman"/>
          <w:sz w:val="24"/>
          <w:szCs w:val="24"/>
          <w:lang w:eastAsia="cs-CZ"/>
        </w:rPr>
      </w:pPr>
      <w:r w:rsidRPr="003E71C1">
        <w:rPr>
          <w:rFonts w:ascii="Times New Roman" w:hAnsi="Times New Roman"/>
          <w:sz w:val="24"/>
          <w:szCs w:val="24"/>
          <w:lang w:eastAsia="cs-CZ"/>
        </w:rPr>
        <w:t>Prostřednictvím odboru Kontrola Ministerstva financí, který v rámci implementace Finančních mechanismů EHP/Norsko vykonává pro programové období 2004 – 2009 funkci Národního kontrolního orgánu, nebyla v roce 2014</w:t>
      </w:r>
      <w:r w:rsidRPr="003E71C1">
        <w:rPr>
          <w:rFonts w:ascii="Times New Roman" w:hAnsi="Times New Roman"/>
          <w:b/>
          <w:sz w:val="24"/>
          <w:szCs w:val="24"/>
          <w:lang w:eastAsia="cs-CZ"/>
        </w:rPr>
        <w:t xml:space="preserve"> </w:t>
      </w:r>
      <w:r w:rsidRPr="003E71C1">
        <w:rPr>
          <w:rFonts w:ascii="Times New Roman" w:hAnsi="Times New Roman"/>
          <w:sz w:val="24"/>
          <w:szCs w:val="24"/>
          <w:lang w:eastAsia="cs-CZ"/>
        </w:rPr>
        <w:t xml:space="preserve">formou pravidelných čtvrtletních zpráv nahlášena Kanceláři finančních mechanismů žádná nová nesrovnalost, pouze aktualizace již dříve nahlášených případů. </w:t>
      </w:r>
    </w:p>
    <w:p w:rsidR="00F27B03" w:rsidRPr="003E71C1" w:rsidRDefault="00F27B03" w:rsidP="003E71C1">
      <w:pPr>
        <w:rPr>
          <w:rFonts w:ascii="Times New Roman" w:hAnsi="Times New Roman"/>
          <w:sz w:val="24"/>
          <w:szCs w:val="24"/>
          <w:lang w:eastAsia="cs-CZ"/>
        </w:rPr>
      </w:pPr>
    </w:p>
    <w:p w:rsidR="00F27B03" w:rsidRPr="003E71C1" w:rsidRDefault="00F27B03" w:rsidP="003E71C1">
      <w:pPr>
        <w:spacing w:after="200"/>
        <w:rPr>
          <w:rFonts w:ascii="Times New Roman" w:hAnsi="Times New Roman"/>
          <w:b/>
          <w:sz w:val="24"/>
          <w:szCs w:val="24"/>
          <w:lang w:eastAsia="cs-CZ"/>
        </w:rPr>
      </w:pPr>
      <w:r w:rsidRPr="003E71C1">
        <w:rPr>
          <w:rFonts w:ascii="Times New Roman" w:hAnsi="Times New Roman"/>
          <w:b/>
          <w:sz w:val="24"/>
          <w:szCs w:val="24"/>
          <w:lang w:eastAsia="cs-CZ"/>
        </w:rPr>
        <w:t>Spolupráce na hlášení nesrovnalostí v rámci Programu švýcarsko-české spolupráce</w:t>
      </w:r>
    </w:p>
    <w:p w:rsidR="00F27B03" w:rsidRPr="003E71C1" w:rsidRDefault="00F27B03" w:rsidP="003E71C1">
      <w:pPr>
        <w:numPr>
          <w:ilvl w:val="12"/>
          <w:numId w:val="0"/>
        </w:numPr>
        <w:tabs>
          <w:tab w:val="left" w:pos="8505"/>
        </w:tabs>
        <w:spacing w:after="0"/>
        <w:ind w:right="283" w:firstLine="708"/>
        <w:rPr>
          <w:rFonts w:ascii="Times New Roman" w:hAnsi="Times New Roman"/>
          <w:sz w:val="24"/>
          <w:szCs w:val="24"/>
          <w:lang w:eastAsia="cs-CZ"/>
        </w:rPr>
      </w:pPr>
      <w:r w:rsidRPr="003E71C1">
        <w:rPr>
          <w:rFonts w:ascii="Times New Roman" w:hAnsi="Times New Roman"/>
          <w:sz w:val="24"/>
          <w:szCs w:val="24"/>
          <w:lang w:eastAsia="cs-CZ"/>
        </w:rPr>
        <w:t>Odbor Kontrola Ministerstva financí je jednou ze součástí Národní koordinační jednotky pro Program švýcarsko-české spolupráce, ve které plní funkci Národního kontrolního orgánu. V rámci tohoto programu nebyla v roce 2014 nahlášena švýcarské ambasádě (Swiss Contribution Office) žádná nová nesrovnalost, pouze aktualizace již dříve nahlášených případů.</w:t>
      </w:r>
    </w:p>
    <w:p w:rsidR="00F27B03" w:rsidRDefault="00F27B03" w:rsidP="003E71C1">
      <w:pPr>
        <w:widowControl w:val="0"/>
        <w:tabs>
          <w:tab w:val="left" w:pos="709"/>
        </w:tabs>
        <w:suppressAutoHyphens/>
        <w:rPr>
          <w:rFonts w:ascii="Times New Roman" w:eastAsia="SimSun" w:hAnsi="Times New Roman" w:cs="Mangal"/>
          <w:kern w:val="2"/>
          <w:sz w:val="24"/>
          <w:szCs w:val="24"/>
          <w:lang w:eastAsia="hi-IN" w:bidi="hi-IN"/>
        </w:rPr>
      </w:pPr>
    </w:p>
    <w:p w:rsidR="00F27B03" w:rsidRDefault="00F27B03" w:rsidP="003E71C1">
      <w:pPr>
        <w:widowControl w:val="0"/>
        <w:tabs>
          <w:tab w:val="left" w:pos="709"/>
        </w:tabs>
        <w:suppressAutoHyphens/>
        <w:rPr>
          <w:rFonts w:ascii="Times New Roman" w:eastAsia="SimSun" w:hAnsi="Times New Roman" w:cs="Mangal"/>
          <w:kern w:val="2"/>
          <w:sz w:val="24"/>
          <w:szCs w:val="24"/>
          <w:lang w:eastAsia="hi-IN" w:bidi="hi-IN"/>
        </w:rPr>
      </w:pPr>
    </w:p>
    <w:p w:rsidR="00F27B03" w:rsidRPr="00427314" w:rsidRDefault="00F27B03" w:rsidP="003E71C1">
      <w:pPr>
        <w:widowControl w:val="0"/>
        <w:tabs>
          <w:tab w:val="left" w:pos="709"/>
        </w:tabs>
        <w:suppressAutoHyphens/>
        <w:rPr>
          <w:rFonts w:ascii="Times New Roman" w:eastAsia="SimSun" w:hAnsi="Times New Roman" w:cs="Mangal"/>
          <w:kern w:val="2"/>
          <w:sz w:val="24"/>
          <w:szCs w:val="24"/>
          <w:lang w:eastAsia="hi-IN" w:bidi="hi-IN"/>
        </w:rPr>
      </w:pPr>
    </w:p>
    <w:p w:rsidR="00F27B03" w:rsidRPr="00427314" w:rsidRDefault="00F27B03" w:rsidP="00C20038">
      <w:pPr>
        <w:widowControl w:val="0"/>
        <w:numPr>
          <w:ilvl w:val="0"/>
          <w:numId w:val="7"/>
        </w:numPr>
        <w:tabs>
          <w:tab w:val="clear" w:pos="720"/>
          <w:tab w:val="left" w:pos="709"/>
          <w:tab w:val="left" w:pos="867"/>
        </w:tabs>
        <w:suppressAutoHyphens/>
        <w:ind w:hanging="720"/>
        <w:rPr>
          <w:rFonts w:ascii="Times New Roman" w:eastAsia="SimSun" w:hAnsi="Times New Roman" w:cs="Mangal"/>
          <w:kern w:val="2"/>
          <w:sz w:val="28"/>
          <w:szCs w:val="28"/>
          <w:lang w:eastAsia="hi-IN" w:bidi="hi-IN"/>
        </w:rPr>
      </w:pPr>
      <w:r w:rsidRPr="00427314">
        <w:rPr>
          <w:rFonts w:ascii="Times New Roman" w:eastAsia="SimSun" w:hAnsi="Times New Roman" w:cs="Mangal"/>
          <w:b/>
          <w:bCs/>
          <w:kern w:val="2"/>
          <w:sz w:val="28"/>
          <w:szCs w:val="28"/>
          <w:lang w:eastAsia="hi-IN" w:bidi="hi-IN"/>
        </w:rPr>
        <w:lastRenderedPageBreak/>
        <w:t>Centrá</w:t>
      </w:r>
      <w:r w:rsidRPr="006F67E8">
        <w:rPr>
          <w:rFonts w:ascii="Times New Roman" w:eastAsia="SimSun" w:hAnsi="Times New Roman" w:cs="Mangal"/>
          <w:b/>
          <w:bCs/>
          <w:kern w:val="2"/>
          <w:sz w:val="28"/>
          <w:szCs w:val="28"/>
          <w:lang w:eastAsia="hi-IN" w:bidi="hi-IN"/>
        </w:rPr>
        <w:t>l</w:t>
      </w:r>
      <w:r w:rsidRPr="00427314">
        <w:rPr>
          <w:rFonts w:ascii="Times New Roman" w:eastAsia="SimSun" w:hAnsi="Times New Roman" w:cs="Mangal"/>
          <w:b/>
          <w:bCs/>
          <w:kern w:val="2"/>
          <w:sz w:val="28"/>
          <w:szCs w:val="28"/>
          <w:lang w:eastAsia="hi-IN" w:bidi="hi-IN"/>
        </w:rPr>
        <w:t>ní harmonizace finanční kontroly ve veřejné správě</w:t>
      </w:r>
    </w:p>
    <w:p w:rsidR="00F27B03" w:rsidRPr="00C556B6" w:rsidRDefault="00F27B03" w:rsidP="006364EE">
      <w:pPr>
        <w:widowControl w:val="0"/>
        <w:tabs>
          <w:tab w:val="left" w:pos="567"/>
          <w:tab w:val="left" w:pos="867"/>
        </w:tabs>
        <w:suppressAutoHyphens/>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 xml:space="preserve">V souladu s usnesením vlády České republiky č. 1275 ze dne 15. října 2008 k Akčnímu plánu priorit a cílů Národní strategie na ochranu finančních zájmů Evropského společenství v České republice, usnesením vlády č. 49 ze dne 15. ledna 2014 ke snížení legislativních bariér a nelegislativních bariér implementace Evropských strukturálních a investičních fondů v programovém období let 2014 - 2020, v návaznosti na Strategický rámec rozvoje veřejné správy České republiky pro období 2014 – 2020, Strategii vlády v boji proti korupci a Koncepci PIC definovanou Evropskou komisí, byl v roce 2014 zpracováván a v souladu s usnesením vlády č. 1056 ze dne 15. prosince 2014 k návrhu Plánu legislativních prací vlády na rok 2015, dne 28. února 2015 vládě předložen nový návrh zákona o vnitřním řízení a kontrole ve veřejné správě, který implementuje směrnici Rady (EU) 2011/85/EU ze dne 8. listopadu 2011 </w:t>
      </w:r>
      <w:r w:rsidRPr="00B24AAC">
        <w:rPr>
          <w:rFonts w:ascii="Times New Roman" w:eastAsia="SimSun" w:hAnsi="Times New Roman" w:cs="Mangal"/>
          <w:kern w:val="2"/>
          <w:sz w:val="24"/>
          <w:szCs w:val="24"/>
          <w:lang w:eastAsia="hi-IN" w:bidi="hi-IN"/>
        </w:rPr>
        <w:t>o požadavcích na ro</w:t>
      </w:r>
      <w:r>
        <w:rPr>
          <w:rFonts w:ascii="Times New Roman" w:eastAsia="SimSun" w:hAnsi="Times New Roman" w:cs="Mangal"/>
          <w:kern w:val="2"/>
          <w:sz w:val="24"/>
          <w:szCs w:val="24"/>
          <w:lang w:eastAsia="hi-IN" w:bidi="hi-IN"/>
        </w:rPr>
        <w:t xml:space="preserve">zpočtové rámce členských států. </w:t>
      </w:r>
    </w:p>
    <w:p w:rsidR="00F27B03" w:rsidRDefault="00F27B03" w:rsidP="00916DBA">
      <w:pPr>
        <w:ind w:firstLine="567"/>
        <w:rPr>
          <w:rFonts w:ascii="Times New Roman" w:hAnsi="Times New Roman"/>
          <w:sz w:val="24"/>
          <w:szCs w:val="24"/>
        </w:rPr>
      </w:pPr>
      <w:r>
        <w:rPr>
          <w:rFonts w:ascii="Times New Roman" w:hAnsi="Times New Roman"/>
          <w:color w:val="000000"/>
          <w:sz w:val="24"/>
          <w:szCs w:val="24"/>
        </w:rPr>
        <w:t>Působnost Ministerstva financí v oblasti finanční kontroly je dána ustanovením § 7 zákona č. 320/2001 Sb., o finanční kontrole. V rámci této působnosti a v</w:t>
      </w:r>
      <w:r w:rsidRPr="00096057">
        <w:rPr>
          <w:rFonts w:ascii="Times New Roman" w:hAnsi="Times New Roman"/>
          <w:color w:val="000000"/>
          <w:sz w:val="24"/>
          <w:szCs w:val="24"/>
        </w:rPr>
        <w:t> souladu s programovým prohlášením vlády</w:t>
      </w:r>
      <w:r>
        <w:rPr>
          <w:rFonts w:ascii="Times New Roman" w:hAnsi="Times New Roman"/>
          <w:color w:val="000000"/>
          <w:sz w:val="24"/>
          <w:szCs w:val="24"/>
        </w:rPr>
        <w:t xml:space="preserve"> a</w:t>
      </w:r>
      <w:r w:rsidRPr="00096057">
        <w:rPr>
          <w:rFonts w:ascii="Times New Roman" w:hAnsi="Times New Roman"/>
          <w:color w:val="000000"/>
          <w:sz w:val="24"/>
          <w:szCs w:val="24"/>
        </w:rPr>
        <w:t xml:space="preserve"> s cílem zefektivnit kontrolu veřejných prostředků</w:t>
      </w:r>
      <w:r>
        <w:rPr>
          <w:rFonts w:ascii="Times New Roman" w:hAnsi="Times New Roman"/>
          <w:color w:val="000000"/>
          <w:sz w:val="24"/>
          <w:szCs w:val="24"/>
        </w:rPr>
        <w:t>,</w:t>
      </w:r>
      <w:r w:rsidRPr="00096057">
        <w:rPr>
          <w:rFonts w:ascii="Times New Roman" w:hAnsi="Times New Roman"/>
          <w:color w:val="000000"/>
          <w:sz w:val="24"/>
          <w:szCs w:val="24"/>
        </w:rPr>
        <w:t xml:space="preserve"> v návaznosti na usnesení vlády č. 445 ze dne 16.  června 2014, které ukládalo přijmout opatření ke zvýšení účinnosti finančního řízení a kontroly v odpovědnosti řídících a</w:t>
      </w:r>
      <w:r>
        <w:rPr>
          <w:rFonts w:ascii="Times New Roman" w:hAnsi="Times New Roman"/>
          <w:color w:val="000000"/>
          <w:sz w:val="24"/>
          <w:szCs w:val="24"/>
        </w:rPr>
        <w:t> </w:t>
      </w:r>
      <w:r w:rsidRPr="00096057">
        <w:rPr>
          <w:rFonts w:ascii="Times New Roman" w:hAnsi="Times New Roman"/>
          <w:color w:val="000000"/>
          <w:sz w:val="24"/>
          <w:szCs w:val="24"/>
        </w:rPr>
        <w:t>výkonných struktur, interního auditu a  veřejnosprávních kontrol, při prosazování řádného hospodaření s finančními prostředky a  majetkem orgánů státní správy, bylo dne 16. července 2014 ministrem financí rozhodnuto o změně organizační struktury Ministerstva financí a</w:t>
      </w:r>
      <w:r>
        <w:rPr>
          <w:rFonts w:ascii="Times New Roman" w:hAnsi="Times New Roman"/>
          <w:color w:val="000000"/>
          <w:sz w:val="24"/>
          <w:szCs w:val="24"/>
        </w:rPr>
        <w:t> </w:t>
      </w:r>
      <w:r w:rsidRPr="00096057">
        <w:rPr>
          <w:rFonts w:ascii="Times New Roman" w:hAnsi="Times New Roman"/>
          <w:color w:val="000000"/>
          <w:sz w:val="24"/>
          <w:szCs w:val="24"/>
        </w:rPr>
        <w:t>o</w:t>
      </w:r>
      <w:r>
        <w:rPr>
          <w:rFonts w:ascii="Times New Roman" w:hAnsi="Times New Roman"/>
          <w:color w:val="000000"/>
          <w:sz w:val="24"/>
          <w:szCs w:val="24"/>
        </w:rPr>
        <w:t> </w:t>
      </w:r>
      <w:r w:rsidRPr="00096057">
        <w:rPr>
          <w:rFonts w:ascii="Times New Roman" w:hAnsi="Times New Roman"/>
          <w:color w:val="000000"/>
          <w:sz w:val="24"/>
          <w:szCs w:val="24"/>
        </w:rPr>
        <w:t>převzetí 86 systemizovaných míst od orgán</w:t>
      </w:r>
      <w:r>
        <w:rPr>
          <w:rFonts w:ascii="Times New Roman" w:hAnsi="Times New Roman"/>
          <w:color w:val="000000"/>
          <w:sz w:val="24"/>
          <w:szCs w:val="24"/>
        </w:rPr>
        <w:t>ů</w:t>
      </w:r>
      <w:r w:rsidRPr="00096057">
        <w:rPr>
          <w:rFonts w:ascii="Times New Roman" w:hAnsi="Times New Roman"/>
          <w:color w:val="000000"/>
          <w:sz w:val="24"/>
          <w:szCs w:val="24"/>
        </w:rPr>
        <w:t xml:space="preserve"> finanční správy České republiky.</w:t>
      </w:r>
      <w:r w:rsidRPr="00B67850">
        <w:rPr>
          <w:rFonts w:ascii="Times New Roman" w:hAnsi="Times New Roman"/>
          <w:sz w:val="24"/>
          <w:szCs w:val="24"/>
        </w:rPr>
        <w:t xml:space="preserve"> Jednalo se o </w:t>
      </w:r>
      <w:r>
        <w:rPr>
          <w:rFonts w:ascii="Times New Roman" w:hAnsi="Times New Roman"/>
          <w:sz w:val="24"/>
          <w:szCs w:val="24"/>
        </w:rPr>
        <w:t>systemizovaná místa</w:t>
      </w:r>
      <w:r w:rsidRPr="00B67850">
        <w:rPr>
          <w:rFonts w:ascii="Times New Roman" w:hAnsi="Times New Roman"/>
          <w:sz w:val="24"/>
          <w:szCs w:val="24"/>
        </w:rPr>
        <w:t xml:space="preserve"> určená k výkonu vybraných agend, konkrétně finanční kontroly podle zákona č. 320/2001 Sb., o finanční kontrole, a působnosti na úseku přezkoumávání hospodaření územních samosprávných celků podle zákona č. 420/2004 Sb., o přezkoumávání hospodaření územních samosprávných celků a </w:t>
      </w:r>
      <w:r>
        <w:rPr>
          <w:rFonts w:ascii="Times New Roman" w:hAnsi="Times New Roman"/>
          <w:sz w:val="24"/>
          <w:szCs w:val="24"/>
        </w:rPr>
        <w:t xml:space="preserve"> dobrovolných svazků obcí, která byla přesunuta pod odbor 17 – Kontrola, který </w:t>
      </w:r>
      <w:r w:rsidRPr="009C24B1">
        <w:rPr>
          <w:rFonts w:ascii="Times New Roman" w:hAnsi="Times New Roman"/>
          <w:sz w:val="24"/>
          <w:szCs w:val="24"/>
        </w:rPr>
        <w:t>vykonává finanční kontrolu veřejných prostředků v</w:t>
      </w:r>
      <w:r>
        <w:rPr>
          <w:rFonts w:ascii="Times New Roman" w:hAnsi="Times New Roman"/>
          <w:sz w:val="24"/>
          <w:szCs w:val="24"/>
        </w:rPr>
        <w:t> </w:t>
      </w:r>
      <w:r w:rsidRPr="009C24B1">
        <w:rPr>
          <w:rFonts w:ascii="Times New Roman" w:hAnsi="Times New Roman"/>
          <w:sz w:val="24"/>
          <w:szCs w:val="24"/>
        </w:rPr>
        <w:t>souladu s platnými ustanoveními právních předpisů ČR a EU</w:t>
      </w:r>
      <w:r w:rsidRPr="00B67850">
        <w:rPr>
          <w:rFonts w:ascii="Times New Roman" w:hAnsi="Times New Roman"/>
          <w:sz w:val="24"/>
          <w:szCs w:val="24"/>
        </w:rPr>
        <w:t>.</w:t>
      </w:r>
    </w:p>
    <w:p w:rsidR="00F27B03" w:rsidRPr="00B365F1" w:rsidRDefault="00F27B03" w:rsidP="009C473E">
      <w:pPr>
        <w:widowControl w:val="0"/>
        <w:overflowPunct w:val="0"/>
        <w:autoSpaceDE w:val="0"/>
        <w:autoSpaceDN w:val="0"/>
        <w:adjustRightInd w:val="0"/>
        <w:ind w:firstLine="567"/>
        <w:rPr>
          <w:rFonts w:ascii="Times New Roman" w:hAnsi="Times New Roman"/>
          <w:bCs/>
          <w:sz w:val="24"/>
          <w:szCs w:val="24"/>
          <w:lang w:eastAsia="cs-CZ"/>
        </w:rPr>
      </w:pPr>
      <w:r>
        <w:rPr>
          <w:rFonts w:ascii="Times New Roman" w:hAnsi="Times New Roman"/>
          <w:bCs/>
          <w:sz w:val="24"/>
          <w:szCs w:val="24"/>
          <w:lang w:eastAsia="cs-CZ"/>
        </w:rPr>
        <w:t>Dalšími o</w:t>
      </w:r>
      <w:r w:rsidRPr="00B365F1">
        <w:rPr>
          <w:rFonts w:ascii="Times New Roman" w:hAnsi="Times New Roman"/>
          <w:bCs/>
          <w:sz w:val="24"/>
          <w:szCs w:val="24"/>
          <w:lang w:eastAsia="cs-CZ"/>
        </w:rPr>
        <w:t>patření</w:t>
      </w:r>
      <w:r>
        <w:rPr>
          <w:rFonts w:ascii="Times New Roman" w:hAnsi="Times New Roman"/>
          <w:bCs/>
          <w:sz w:val="24"/>
          <w:szCs w:val="24"/>
          <w:lang w:eastAsia="cs-CZ"/>
        </w:rPr>
        <w:t xml:space="preserve">mi vedoucími </w:t>
      </w:r>
      <w:r w:rsidRPr="00B365F1">
        <w:rPr>
          <w:rFonts w:ascii="Times New Roman" w:hAnsi="Times New Roman"/>
          <w:bCs/>
          <w:sz w:val="24"/>
          <w:szCs w:val="24"/>
          <w:lang w:eastAsia="cs-CZ"/>
        </w:rPr>
        <w:t>ke zvýšení účinnosti finančního řízení a kontroly v odpovědnosti řídicích a výkonných struktur, interního auditu a veřejnoprávních kontrol při prosazování řádného hospodaření s finančními prostředky a majetkem orgánů státní správy ve smyslu usnesení vlády č. 445 ze dne 16. 6. 2014</w:t>
      </w:r>
      <w:r>
        <w:rPr>
          <w:rFonts w:ascii="Times New Roman" w:hAnsi="Times New Roman"/>
          <w:bCs/>
          <w:sz w:val="24"/>
          <w:szCs w:val="24"/>
          <w:lang w:eastAsia="cs-CZ"/>
        </w:rPr>
        <w:t xml:space="preserve"> byla opatření učiněná v rámci odboru 56 – Interní audit: </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Pr>
          <w:rFonts w:ascii="Times New Roman" w:hAnsi="Times New Roman"/>
          <w:sz w:val="24"/>
          <w:szCs w:val="24"/>
          <w:lang w:eastAsia="cs-CZ"/>
        </w:rPr>
        <w:lastRenderedPageBreak/>
        <w:t>V</w:t>
      </w:r>
      <w:r w:rsidRPr="00713515">
        <w:rPr>
          <w:rFonts w:ascii="Times New Roman" w:hAnsi="Times New Roman"/>
          <w:sz w:val="24"/>
          <w:szCs w:val="24"/>
          <w:lang w:eastAsia="cs-CZ"/>
        </w:rPr>
        <w:t> návaznosti na personální změnu v pozici ředitele odboru Interní audit ke dni 8. 11. 2014 byla zpracována Koncepce odboru Interní audit, kterou schválil ministr financí dne 22. 12. 2014. V rámci této Koncepce byly navrženy změny ke zvýšení efektivity interního auditu, mj. i změna metodiky pro zpracování střednědobých/ročním plánů auditů od roku 2015. Výsledky těchto změn lze očekávat v průběhu roku 2015.</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sidRPr="00713515">
        <w:rPr>
          <w:rFonts w:ascii="Times New Roman" w:hAnsi="Times New Roman"/>
          <w:sz w:val="24"/>
          <w:szCs w:val="24"/>
          <w:lang w:eastAsia="cs-CZ"/>
        </w:rPr>
        <w:t>Program</w:t>
      </w:r>
      <w:r>
        <w:rPr>
          <w:rFonts w:ascii="Times New Roman" w:hAnsi="Times New Roman"/>
          <w:sz w:val="24"/>
          <w:szCs w:val="24"/>
          <w:lang w:eastAsia="cs-CZ"/>
        </w:rPr>
        <w:t xml:space="preserve"> </w:t>
      </w:r>
      <w:r w:rsidRPr="00713515">
        <w:rPr>
          <w:rFonts w:ascii="Times New Roman" w:hAnsi="Times New Roman"/>
          <w:sz w:val="24"/>
          <w:szCs w:val="24"/>
          <w:lang w:eastAsia="cs-CZ"/>
        </w:rPr>
        <w:t>auditů</w:t>
      </w:r>
      <w:r>
        <w:rPr>
          <w:rFonts w:ascii="Times New Roman" w:hAnsi="Times New Roman"/>
          <w:sz w:val="24"/>
          <w:szCs w:val="24"/>
          <w:lang w:eastAsia="cs-CZ"/>
        </w:rPr>
        <w:t xml:space="preserve"> byl zaměřen</w:t>
      </w:r>
      <w:r w:rsidRPr="00713515">
        <w:rPr>
          <w:rFonts w:ascii="Times New Roman" w:hAnsi="Times New Roman"/>
          <w:sz w:val="24"/>
          <w:szCs w:val="24"/>
          <w:lang w:eastAsia="cs-CZ"/>
        </w:rPr>
        <w:t xml:space="preserve"> na plnění kritérií týkající se hospodárného, efektivního a účelného výkonu veřejné správy, především v souvislosti s nakládáním s veřejnými prostředky, s procesem zadávání veřejných zakázek byl naplněn s tím, že v průběhu roku 2014 byl dokončen audit č. 2013/14 „Privatizační fond“, kterým byla prověřena oblast nakládání s finančními prostředky zvláštního účtu velké privatizace. Pozornost byla věnována především postupům při zadávání veřejných zakázek, čerpání finančních prostředků plynoucích z uzavřených smluvních ujednání v oblasti právních služeb a odstraňování starých ekologických škod a revitalizaci krajiny. Trend ověřování procesu veřejných zakázek</w:t>
      </w:r>
      <w:r>
        <w:rPr>
          <w:rFonts w:ascii="Times New Roman" w:hAnsi="Times New Roman"/>
          <w:sz w:val="24"/>
          <w:szCs w:val="24"/>
          <w:lang w:eastAsia="cs-CZ"/>
        </w:rPr>
        <w:t xml:space="preserve"> pokračuje v roce 2015</w:t>
      </w:r>
      <w:r w:rsidRPr="00713515">
        <w:rPr>
          <w:rFonts w:ascii="Times New Roman" w:hAnsi="Times New Roman"/>
          <w:sz w:val="24"/>
          <w:szCs w:val="24"/>
          <w:lang w:eastAsia="cs-CZ"/>
        </w:rPr>
        <w:t>.</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sidRPr="00713515">
        <w:rPr>
          <w:rFonts w:ascii="Times New Roman" w:hAnsi="Times New Roman"/>
          <w:sz w:val="24"/>
          <w:szCs w:val="24"/>
          <w:lang w:eastAsia="cs-CZ"/>
        </w:rPr>
        <w:t>Pravidelně</w:t>
      </w:r>
      <w:r>
        <w:rPr>
          <w:rFonts w:ascii="Times New Roman" w:hAnsi="Times New Roman"/>
          <w:sz w:val="24"/>
          <w:szCs w:val="24"/>
          <w:lang w:eastAsia="cs-CZ"/>
        </w:rPr>
        <w:t xml:space="preserve"> byla</w:t>
      </w:r>
      <w:r w:rsidRPr="00713515">
        <w:rPr>
          <w:rFonts w:ascii="Times New Roman" w:hAnsi="Times New Roman"/>
          <w:sz w:val="24"/>
          <w:szCs w:val="24"/>
          <w:lang w:eastAsia="cs-CZ"/>
        </w:rPr>
        <w:t xml:space="preserve"> ověřována rizikovost nastavených kontrolních mechanismů ve vztahu ke korupčnímu jednání. </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sidRPr="00713515">
        <w:rPr>
          <w:rFonts w:ascii="Times New Roman" w:hAnsi="Times New Roman"/>
          <w:sz w:val="24"/>
          <w:szCs w:val="24"/>
          <w:lang w:eastAsia="cs-CZ"/>
        </w:rPr>
        <w:t xml:space="preserve">Interní auditoři </w:t>
      </w:r>
      <w:r>
        <w:rPr>
          <w:rFonts w:ascii="Times New Roman" w:hAnsi="Times New Roman"/>
          <w:sz w:val="24"/>
          <w:szCs w:val="24"/>
          <w:lang w:eastAsia="cs-CZ"/>
        </w:rPr>
        <w:t xml:space="preserve">se pravidelně </w:t>
      </w:r>
      <w:r w:rsidRPr="00713515">
        <w:rPr>
          <w:rFonts w:ascii="Times New Roman" w:hAnsi="Times New Roman"/>
          <w:sz w:val="24"/>
          <w:szCs w:val="24"/>
          <w:lang w:eastAsia="cs-CZ"/>
        </w:rPr>
        <w:t xml:space="preserve">účastnili vzdělávacích akcí pořádaných ministerstvem a dalších forem profesního vzdělávání z nabídek externích vzdělávacích a školících společností (Český institut interních auditorů, AKTUÁLNÍ PARAGRAFY JUDr. Pavel Chládek, s.r.o., BOVA POLYGON s.r.o., </w:t>
      </w:r>
      <w:r w:rsidRPr="00713515">
        <w:rPr>
          <w:rFonts w:ascii="Times New Roman" w:hAnsi="Times New Roman"/>
          <w:bCs/>
          <w:sz w:val="24"/>
          <w:szCs w:val="24"/>
          <w:lang w:eastAsia="cs-CZ"/>
        </w:rPr>
        <w:t>J+Consult spol. s r.o.</w:t>
      </w:r>
      <w:r w:rsidRPr="00713515">
        <w:rPr>
          <w:rFonts w:ascii="Times New Roman" w:hAnsi="Times New Roman"/>
          <w:sz w:val="24"/>
          <w:szCs w:val="24"/>
          <w:lang w:eastAsia="cs-CZ"/>
        </w:rPr>
        <w:t xml:space="preserve">). </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Pr>
          <w:rFonts w:ascii="Times New Roman" w:hAnsi="Times New Roman"/>
          <w:sz w:val="24"/>
          <w:szCs w:val="24"/>
          <w:lang w:eastAsia="cs-CZ"/>
        </w:rPr>
        <w:t xml:space="preserve">Byly </w:t>
      </w:r>
      <w:r w:rsidRPr="00713515">
        <w:rPr>
          <w:rFonts w:ascii="Times New Roman" w:hAnsi="Times New Roman"/>
          <w:sz w:val="24"/>
          <w:szCs w:val="24"/>
          <w:lang w:eastAsia="cs-CZ"/>
        </w:rPr>
        <w:t>průběžně vytváře</w:t>
      </w:r>
      <w:r>
        <w:rPr>
          <w:rFonts w:ascii="Times New Roman" w:hAnsi="Times New Roman"/>
          <w:sz w:val="24"/>
          <w:szCs w:val="24"/>
          <w:lang w:eastAsia="cs-CZ"/>
        </w:rPr>
        <w:t>ny</w:t>
      </w:r>
      <w:r w:rsidRPr="00713515">
        <w:rPr>
          <w:rFonts w:ascii="Times New Roman" w:hAnsi="Times New Roman"/>
          <w:sz w:val="24"/>
          <w:szCs w:val="24"/>
          <w:lang w:eastAsia="cs-CZ"/>
        </w:rPr>
        <w:t xml:space="preserve"> konkrétní metodické postupy a checklisty pro vybrané oblasti, které pomohou auditorům zefektivnit a přiměřeně standardizovat výkon auditní činnosti, byl rozpracován s tím, že oblast metodické podpory výkonu interního auditu bude efektivně podporována od roku 2015, a to konkrétně ve spojitosti se zřízením odd. 5601 - Metodika a kvalita interního auditu ke dni 1. 2. 2015 s odpovědností zpracovat </w:t>
      </w:r>
      <w:r>
        <w:rPr>
          <w:rFonts w:ascii="Times New Roman" w:hAnsi="Times New Roman"/>
          <w:sz w:val="24"/>
          <w:szCs w:val="24"/>
          <w:lang w:eastAsia="cs-CZ"/>
        </w:rPr>
        <w:br/>
      </w:r>
      <w:r w:rsidRPr="00713515">
        <w:rPr>
          <w:rFonts w:ascii="Times New Roman" w:hAnsi="Times New Roman"/>
          <w:sz w:val="24"/>
          <w:szCs w:val="24"/>
          <w:lang w:eastAsia="cs-CZ"/>
        </w:rPr>
        <w:t>a aktualizovat metodiku interního auditu.</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Pr>
          <w:rFonts w:ascii="Times New Roman" w:hAnsi="Times New Roman"/>
          <w:sz w:val="24"/>
          <w:szCs w:val="24"/>
          <w:lang w:eastAsia="cs-CZ"/>
        </w:rPr>
        <w:t xml:space="preserve">V rámci metodické činnosti proběhly </w:t>
      </w:r>
      <w:r w:rsidRPr="00713515">
        <w:rPr>
          <w:rFonts w:ascii="Times New Roman" w:hAnsi="Times New Roman"/>
          <w:sz w:val="24"/>
          <w:szCs w:val="24"/>
          <w:lang w:eastAsia="cs-CZ"/>
        </w:rPr>
        <w:t>společné schůzky vedoucích oddělení interních auditů přímo řízených organizací MF s cílem uplatňování nejlepší praxe, výměny zkušeností z auditní činnosti a případné koordinace plánů audit</w:t>
      </w:r>
      <w:r>
        <w:rPr>
          <w:rFonts w:ascii="Times New Roman" w:hAnsi="Times New Roman"/>
          <w:sz w:val="24"/>
          <w:szCs w:val="24"/>
          <w:lang w:eastAsia="cs-CZ"/>
        </w:rPr>
        <w:t>ů. Společná schůzka</w:t>
      </w:r>
      <w:r w:rsidRPr="00713515">
        <w:rPr>
          <w:rFonts w:ascii="Times New Roman" w:hAnsi="Times New Roman"/>
          <w:sz w:val="24"/>
          <w:szCs w:val="24"/>
          <w:lang w:eastAsia="cs-CZ"/>
        </w:rPr>
        <w:t xml:space="preserve"> se uskutečnil</w:t>
      </w:r>
      <w:r>
        <w:rPr>
          <w:rFonts w:ascii="Times New Roman" w:hAnsi="Times New Roman"/>
          <w:sz w:val="24"/>
          <w:szCs w:val="24"/>
          <w:lang w:eastAsia="cs-CZ"/>
        </w:rPr>
        <w:t>a ve</w:t>
      </w:r>
      <w:r w:rsidRPr="00713515">
        <w:rPr>
          <w:rFonts w:ascii="Times New Roman" w:hAnsi="Times New Roman"/>
          <w:sz w:val="24"/>
          <w:szCs w:val="24"/>
          <w:lang w:eastAsia="cs-CZ"/>
        </w:rPr>
        <w:t xml:space="preserve"> dne</w:t>
      </w:r>
      <w:r>
        <w:rPr>
          <w:rFonts w:ascii="Times New Roman" w:hAnsi="Times New Roman"/>
          <w:sz w:val="24"/>
          <w:szCs w:val="24"/>
          <w:lang w:eastAsia="cs-CZ"/>
        </w:rPr>
        <w:t>ch</w:t>
      </w:r>
      <w:r w:rsidRPr="00713515">
        <w:rPr>
          <w:rFonts w:ascii="Times New Roman" w:hAnsi="Times New Roman"/>
          <w:sz w:val="24"/>
          <w:szCs w:val="24"/>
          <w:lang w:eastAsia="cs-CZ"/>
        </w:rPr>
        <w:t xml:space="preserve"> 26. - 28. 11. 2014 ve VZ Vltava, Smilovice, </w:t>
      </w:r>
      <w:r>
        <w:rPr>
          <w:rFonts w:ascii="Times New Roman" w:hAnsi="Times New Roman"/>
          <w:sz w:val="24"/>
          <w:szCs w:val="24"/>
          <w:lang w:eastAsia="cs-CZ"/>
        </w:rPr>
        <w:br/>
      </w:r>
      <w:r w:rsidRPr="00713515">
        <w:rPr>
          <w:rFonts w:ascii="Times New Roman" w:hAnsi="Times New Roman"/>
          <w:sz w:val="24"/>
          <w:szCs w:val="24"/>
          <w:lang w:eastAsia="cs-CZ"/>
        </w:rPr>
        <w:t>za účasti zástupců interních auditů a vnitřních kontrol ministerstva, GFŘ, GŘC a Ministerstva financí Slovenské republiky. Účastníci se shodli, že obdobná setkání budou pokračovat i v budoucnu.</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sidRPr="00713515">
        <w:rPr>
          <w:rFonts w:ascii="Times New Roman" w:hAnsi="Times New Roman"/>
          <w:sz w:val="24"/>
          <w:szCs w:val="24"/>
          <w:lang w:eastAsia="cs-CZ"/>
        </w:rPr>
        <w:lastRenderedPageBreak/>
        <w:t>Vzhledem</w:t>
      </w:r>
      <w:r>
        <w:rPr>
          <w:rFonts w:ascii="Times New Roman" w:hAnsi="Times New Roman"/>
          <w:sz w:val="24"/>
          <w:szCs w:val="24"/>
          <w:lang w:eastAsia="cs-CZ"/>
        </w:rPr>
        <w:t xml:space="preserve"> </w:t>
      </w:r>
      <w:r w:rsidRPr="00713515">
        <w:rPr>
          <w:rFonts w:ascii="Times New Roman" w:hAnsi="Times New Roman"/>
          <w:sz w:val="24"/>
          <w:szCs w:val="24"/>
          <w:lang w:eastAsia="cs-CZ"/>
        </w:rPr>
        <w:t>k</w:t>
      </w:r>
      <w:r>
        <w:rPr>
          <w:rFonts w:ascii="Times New Roman" w:hAnsi="Times New Roman"/>
          <w:sz w:val="24"/>
          <w:szCs w:val="24"/>
          <w:lang w:eastAsia="cs-CZ"/>
        </w:rPr>
        <w:t xml:space="preserve"> organizačním změnám a </w:t>
      </w:r>
      <w:r w:rsidRPr="00713515">
        <w:rPr>
          <w:rFonts w:ascii="Times New Roman" w:hAnsi="Times New Roman"/>
          <w:sz w:val="24"/>
          <w:szCs w:val="24"/>
          <w:lang w:eastAsia="cs-CZ"/>
        </w:rPr>
        <w:t xml:space="preserve">nové Koncepci odboru Interní audit, kterou schválil ministr financí dne 22. 12. 2014, provedení pravidelného hodnocení kvality dle Mezinárodních standardů pro profesní praxi interního auditu </w:t>
      </w:r>
      <w:r>
        <w:rPr>
          <w:rFonts w:ascii="Times New Roman" w:hAnsi="Times New Roman"/>
          <w:sz w:val="24"/>
          <w:szCs w:val="24"/>
          <w:lang w:eastAsia="cs-CZ"/>
        </w:rPr>
        <w:t xml:space="preserve">bylo přeloženo z roku 2014 na rok 2015 a jeho provedení </w:t>
      </w:r>
      <w:r w:rsidRPr="00713515">
        <w:rPr>
          <w:rFonts w:ascii="Times New Roman" w:hAnsi="Times New Roman"/>
          <w:sz w:val="24"/>
          <w:szCs w:val="24"/>
          <w:lang w:eastAsia="cs-CZ"/>
        </w:rPr>
        <w:t>se předpokládá v</w:t>
      </w:r>
      <w:r>
        <w:rPr>
          <w:rFonts w:ascii="Times New Roman" w:hAnsi="Times New Roman"/>
          <w:sz w:val="24"/>
          <w:szCs w:val="24"/>
          <w:lang w:eastAsia="cs-CZ"/>
        </w:rPr>
        <w:t>e</w:t>
      </w:r>
      <w:r w:rsidRPr="00713515">
        <w:rPr>
          <w:rFonts w:ascii="Times New Roman" w:hAnsi="Times New Roman"/>
          <w:sz w:val="24"/>
          <w:szCs w:val="24"/>
          <w:lang w:eastAsia="cs-CZ"/>
        </w:rPr>
        <w:t> druhé polovině roku 2015. Sebehodnocení činnosti oddělení interního auditu, zaměřené zejména na stav personálních zdrojů, odborné aktivity a profesionalitu interních auditorů, oblast plánování, dodržování nastavených postupů při auditech, plnění auditorských cílů, podávání zpráv a organizaci řízení interního auditu, bylo provedeno.</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sidRPr="00713515">
        <w:rPr>
          <w:rFonts w:ascii="Times New Roman" w:hAnsi="Times New Roman"/>
          <w:sz w:val="24"/>
          <w:szCs w:val="24"/>
          <w:lang w:eastAsia="cs-CZ"/>
        </w:rPr>
        <w:t>Interní audit</w:t>
      </w:r>
      <w:r>
        <w:rPr>
          <w:rFonts w:ascii="Times New Roman" w:hAnsi="Times New Roman"/>
          <w:sz w:val="24"/>
          <w:szCs w:val="24"/>
          <w:lang w:eastAsia="cs-CZ"/>
        </w:rPr>
        <w:t xml:space="preserve">, vzhledem k tomu, že na </w:t>
      </w:r>
      <w:r w:rsidRPr="00713515">
        <w:rPr>
          <w:rFonts w:ascii="Times New Roman" w:hAnsi="Times New Roman"/>
          <w:sz w:val="24"/>
          <w:szCs w:val="24"/>
          <w:lang w:eastAsia="cs-CZ"/>
        </w:rPr>
        <w:t xml:space="preserve"> ministerstvu nebyl doposud ustanoven </w:t>
      </w:r>
      <w:r>
        <w:rPr>
          <w:rFonts w:ascii="Times New Roman" w:hAnsi="Times New Roman"/>
          <w:sz w:val="24"/>
          <w:szCs w:val="24"/>
          <w:lang w:eastAsia="cs-CZ"/>
        </w:rPr>
        <w:t>z</w:t>
      </w:r>
      <w:r w:rsidRPr="00713515">
        <w:rPr>
          <w:rFonts w:ascii="Times New Roman" w:hAnsi="Times New Roman"/>
          <w:sz w:val="24"/>
          <w:szCs w:val="24"/>
          <w:lang w:eastAsia="cs-CZ"/>
        </w:rPr>
        <w:t>aměstnanec zodpovědný za koordinaci řízení rizik, bude nadále usilovat o nastavení odpovědnosti za systém řízení a správ</w:t>
      </w:r>
      <w:r>
        <w:rPr>
          <w:rFonts w:ascii="Times New Roman" w:hAnsi="Times New Roman"/>
          <w:sz w:val="24"/>
          <w:szCs w:val="24"/>
          <w:lang w:eastAsia="cs-CZ"/>
        </w:rPr>
        <w:t>u</w:t>
      </w:r>
      <w:r w:rsidRPr="00713515">
        <w:rPr>
          <w:rFonts w:ascii="Times New Roman" w:hAnsi="Times New Roman"/>
          <w:sz w:val="24"/>
          <w:szCs w:val="24"/>
          <w:lang w:eastAsia="cs-CZ"/>
        </w:rPr>
        <w:t xml:space="preserve"> rizik v podmínkách ministerstva mimo útvar interního auditu spolu se zřízením funkce koordinátora rizik zajišťujícího plnou funkčnost systému řízení rizik včetně spolupráce s jednotlivými organizačními útvary.</w:t>
      </w:r>
    </w:p>
    <w:p w:rsidR="00F27B03" w:rsidRPr="00713515" w:rsidRDefault="00F27B03" w:rsidP="00C830B0">
      <w:pPr>
        <w:numPr>
          <w:ilvl w:val="0"/>
          <w:numId w:val="39"/>
        </w:numPr>
        <w:spacing w:after="0"/>
        <w:ind w:left="567" w:hanging="567"/>
        <w:rPr>
          <w:rFonts w:ascii="Times New Roman" w:hAnsi="Times New Roman"/>
          <w:sz w:val="24"/>
          <w:szCs w:val="24"/>
          <w:lang w:eastAsia="cs-CZ"/>
        </w:rPr>
      </w:pPr>
      <w:r>
        <w:rPr>
          <w:rFonts w:ascii="Times New Roman" w:hAnsi="Times New Roman"/>
          <w:sz w:val="24"/>
          <w:szCs w:val="24"/>
          <w:lang w:eastAsia="cs-CZ"/>
        </w:rPr>
        <w:t>Nastavený s</w:t>
      </w:r>
      <w:r w:rsidRPr="00713515">
        <w:rPr>
          <w:rFonts w:ascii="Times New Roman" w:hAnsi="Times New Roman"/>
          <w:sz w:val="24"/>
          <w:szCs w:val="24"/>
          <w:lang w:eastAsia="cs-CZ"/>
        </w:rPr>
        <w:t>ystém</w:t>
      </w:r>
      <w:r>
        <w:rPr>
          <w:rFonts w:ascii="Times New Roman" w:hAnsi="Times New Roman"/>
          <w:sz w:val="24"/>
          <w:szCs w:val="24"/>
          <w:lang w:eastAsia="cs-CZ"/>
        </w:rPr>
        <w:t xml:space="preserve"> </w:t>
      </w:r>
      <w:r w:rsidRPr="00713515">
        <w:rPr>
          <w:rFonts w:ascii="Times New Roman" w:hAnsi="Times New Roman"/>
          <w:sz w:val="24"/>
          <w:szCs w:val="24"/>
          <w:lang w:eastAsia="cs-CZ"/>
        </w:rPr>
        <w:t>využívání externích specialistů při auditech vybraných oblastí, např. IT napříč organizacemi rezortu byl naplněn tím, že znalosti externích specialistů byl</w:t>
      </w:r>
      <w:r>
        <w:rPr>
          <w:rFonts w:ascii="Times New Roman" w:hAnsi="Times New Roman"/>
          <w:sz w:val="24"/>
          <w:szCs w:val="24"/>
          <w:lang w:eastAsia="cs-CZ"/>
        </w:rPr>
        <w:t>y</w:t>
      </w:r>
      <w:r w:rsidRPr="00713515">
        <w:rPr>
          <w:rFonts w:ascii="Times New Roman" w:hAnsi="Times New Roman"/>
          <w:sz w:val="24"/>
          <w:szCs w:val="24"/>
          <w:lang w:eastAsia="cs-CZ"/>
        </w:rPr>
        <w:t xml:space="preserve"> využit</w:t>
      </w:r>
      <w:r>
        <w:rPr>
          <w:rFonts w:ascii="Times New Roman" w:hAnsi="Times New Roman"/>
          <w:sz w:val="24"/>
          <w:szCs w:val="24"/>
          <w:lang w:eastAsia="cs-CZ"/>
        </w:rPr>
        <w:t>y</w:t>
      </w:r>
      <w:r w:rsidRPr="00713515">
        <w:rPr>
          <w:rFonts w:ascii="Times New Roman" w:hAnsi="Times New Roman"/>
          <w:sz w:val="24"/>
          <w:szCs w:val="24"/>
          <w:lang w:eastAsia="cs-CZ"/>
        </w:rPr>
        <w:t xml:space="preserve"> při výkonu auditu č. 2014/09 „Audit procesu řízení rizik vyplývajících z existence státního dluhu (zvláště pak rizik refinančních, úrokových a měnových)“.</w:t>
      </w:r>
    </w:p>
    <w:p w:rsidR="00F27B03" w:rsidRPr="00B365F1" w:rsidRDefault="00F27B03" w:rsidP="00B365F1">
      <w:pPr>
        <w:spacing w:after="0" w:line="240" w:lineRule="auto"/>
        <w:ind w:left="993" w:hanging="567"/>
        <w:rPr>
          <w:rFonts w:ascii="Times New Roman" w:hAnsi="Times New Roman"/>
          <w:i/>
          <w:sz w:val="24"/>
          <w:szCs w:val="24"/>
          <w:lang w:eastAsia="cs-CZ"/>
        </w:rPr>
      </w:pPr>
    </w:p>
    <w:p w:rsidR="00F27B03" w:rsidRPr="006A04E7" w:rsidRDefault="00F27B03" w:rsidP="00C830B0">
      <w:pPr>
        <w:ind w:firstLine="426"/>
        <w:rPr>
          <w:rFonts w:ascii="Times New Roman" w:hAnsi="Times New Roman"/>
          <w:sz w:val="24"/>
          <w:szCs w:val="24"/>
          <w:lang w:eastAsia="cs-CZ"/>
        </w:rPr>
      </w:pPr>
      <w:r w:rsidRPr="00B365F1">
        <w:rPr>
          <w:rFonts w:ascii="Times New Roman" w:hAnsi="Times New Roman"/>
          <w:sz w:val="24"/>
          <w:szCs w:val="24"/>
          <w:lang w:eastAsia="cs-CZ"/>
        </w:rPr>
        <w:t>Interní audit zajistil plnění všech přijatých opatření směřujících ke zvýšení jeho efektivity, přičemž existují veškeré předpoklady pro to, aby nastoupený trend pokračoval i v roce 2015.</w:t>
      </w:r>
    </w:p>
    <w:p w:rsidR="00F27B03" w:rsidRDefault="00F27B03" w:rsidP="009F70AC">
      <w:pPr>
        <w:widowControl w:val="0"/>
        <w:tabs>
          <w:tab w:val="left" w:pos="567"/>
          <w:tab w:val="left" w:pos="867"/>
        </w:tabs>
        <w:suppressAutoHyphens/>
        <w:rPr>
          <w:rFonts w:ascii="Times New Roman" w:hAnsi="Times New Roman"/>
          <w:sz w:val="24"/>
          <w:szCs w:val="24"/>
        </w:rPr>
      </w:pPr>
      <w:r>
        <w:rPr>
          <w:rFonts w:ascii="Times New Roman" w:hAnsi="Times New Roman"/>
          <w:sz w:val="24"/>
          <w:szCs w:val="24"/>
        </w:rPr>
        <w:t>Další působností Ministerstva financí v rámci § 7 zákona o finanční kontrole je jeho metodická činnost. V rámci této činnosti Centrální harmonizační jednotka aktualizovala stávající metodické pokyny a nově připravila Metodický pokyn pro výkon kontrol v odpovědnosti řídících orgánů při implementaci Evropských strukturálních a investičních fondů pro období 2014 – 2020. Ve druhém pololetí roku 2014 Ministerstvo financí také dle plánu zahájilo provoz informačního systému pro koordinaci plánování veřejnosprávních kontrol (IS FKVS MKP). Modul koordinace plánování je plně funkční jak pro plánování veřejnosprávních kontrol národních prostředků, tak pro plánování veřejnosprávních kontrol prostředků poskytnutých z fondů Evropské unie.</w:t>
      </w:r>
    </w:p>
    <w:p w:rsidR="00F27B03" w:rsidRDefault="00F27B03" w:rsidP="009F70AC">
      <w:pPr>
        <w:widowControl w:val="0"/>
        <w:tabs>
          <w:tab w:val="left" w:pos="567"/>
          <w:tab w:val="left" w:pos="867"/>
        </w:tabs>
        <w:suppressAutoHyphens/>
        <w:rPr>
          <w:rFonts w:ascii="Times New Roman" w:hAnsi="Times New Roman"/>
          <w:sz w:val="24"/>
          <w:szCs w:val="24"/>
        </w:rPr>
      </w:pPr>
    </w:p>
    <w:p w:rsidR="00F27B03" w:rsidRPr="00427314" w:rsidRDefault="00F27B03" w:rsidP="009F70AC">
      <w:pPr>
        <w:widowControl w:val="0"/>
        <w:tabs>
          <w:tab w:val="left" w:pos="567"/>
          <w:tab w:val="left" w:pos="867"/>
        </w:tabs>
        <w:suppressAutoHyphens/>
        <w:rPr>
          <w:rFonts w:ascii="Times New Roman" w:eastAsia="SimSun" w:hAnsi="Times New Roman" w:cs="Mangal"/>
          <w:kern w:val="2"/>
          <w:sz w:val="28"/>
          <w:szCs w:val="28"/>
          <w:lang w:eastAsia="hi-IN" w:bidi="hi-IN"/>
        </w:rPr>
      </w:pPr>
    </w:p>
    <w:p w:rsidR="00F27B03" w:rsidRPr="00427314" w:rsidRDefault="00F27B03" w:rsidP="00C20038">
      <w:pPr>
        <w:widowControl w:val="0"/>
        <w:numPr>
          <w:ilvl w:val="0"/>
          <w:numId w:val="7"/>
        </w:numPr>
        <w:tabs>
          <w:tab w:val="clear" w:pos="720"/>
          <w:tab w:val="left" w:pos="709"/>
          <w:tab w:val="left" w:pos="883"/>
        </w:tabs>
        <w:suppressAutoHyphens/>
        <w:ind w:hanging="720"/>
        <w:rPr>
          <w:rFonts w:ascii="Times New Roman" w:eastAsia="SimSun" w:hAnsi="Times New Roman" w:cs="Mangal"/>
          <w:kern w:val="2"/>
          <w:sz w:val="28"/>
          <w:szCs w:val="28"/>
          <w:lang w:eastAsia="hi-IN" w:bidi="hi-IN"/>
        </w:rPr>
      </w:pPr>
      <w:r w:rsidRPr="00427314">
        <w:rPr>
          <w:rFonts w:ascii="Times New Roman" w:eastAsia="SimSun" w:hAnsi="Times New Roman" w:cs="Mangal"/>
          <w:b/>
          <w:bCs/>
          <w:kern w:val="2"/>
          <w:sz w:val="28"/>
          <w:szCs w:val="28"/>
          <w:lang w:eastAsia="hi-IN" w:bidi="hi-IN"/>
        </w:rPr>
        <w:lastRenderedPageBreak/>
        <w:t>Souhrnné zhodnocení výsledků finanční kontroly s návrhy opatření ke zvýšení účinnosti finanční kontroly ve veřejné správě</w:t>
      </w:r>
    </w:p>
    <w:p w:rsidR="00F27B03" w:rsidRDefault="00F27B03" w:rsidP="00B93429">
      <w:pPr>
        <w:ind w:firstLine="708"/>
        <w:rPr>
          <w:rFonts w:ascii="Times New Roman" w:hAnsi="Times New Roman"/>
          <w:sz w:val="24"/>
          <w:szCs w:val="24"/>
        </w:rPr>
      </w:pPr>
      <w:r>
        <w:rPr>
          <w:rFonts w:ascii="Times New Roman" w:hAnsi="Times New Roman"/>
          <w:sz w:val="24"/>
          <w:szCs w:val="24"/>
        </w:rPr>
        <w:t>Provedené vyhodnocení výsledků finanční kontroly hospodaření s národními prostředky ve veřejné správě dokládá, že tendence z předchozích let, kdy se snižoval objem kontrolovaných prostředků v rámci prováděných veřejnosprávních kontrol a snižoval se i počet provedených interních auditů se zastavil, a naopak v roce 2014 došlo k mírnému nárůstu jak v orgánech státní správy, tak v orgánech a organizacích územní samosprávy.</w:t>
      </w:r>
    </w:p>
    <w:p w:rsidR="00F27B03" w:rsidRDefault="00F27B03" w:rsidP="00B93429">
      <w:pPr>
        <w:ind w:firstLine="708"/>
        <w:rPr>
          <w:rFonts w:ascii="Times New Roman" w:eastAsia="SimSun" w:hAnsi="Times New Roman"/>
          <w:kern w:val="1"/>
          <w:sz w:val="24"/>
          <w:szCs w:val="24"/>
          <w:lang w:eastAsia="hi-IN" w:bidi="hi-IN"/>
        </w:rPr>
      </w:pPr>
      <w:r>
        <w:rPr>
          <w:rFonts w:ascii="Times New Roman" w:hAnsi="Times New Roman"/>
          <w:sz w:val="24"/>
          <w:szCs w:val="24"/>
        </w:rPr>
        <w:t xml:space="preserve">Vykonané veřejnosprávní kontroly i interní audity byly zaměřené na odhalování </w:t>
      </w:r>
      <w:r>
        <w:rPr>
          <w:rFonts w:ascii="Times New Roman" w:eastAsia="SimSun" w:hAnsi="Times New Roman"/>
          <w:kern w:val="1"/>
          <w:sz w:val="24"/>
          <w:szCs w:val="24"/>
          <w:lang w:eastAsia="hi-IN" w:bidi="hi-IN"/>
        </w:rPr>
        <w:t>podezření nasvědčujícímu tomu, že při hospodaření s finančními prostředky a majetkem došlo ke spáchání trestných činů, na zjišťování nedostatků v dodržování zákona č. 137/2006 Sb., o veřejných zakázkách a na porušování rozpočtové kázně podle zákona č. 218/2000 Sb., o rozpočtových pravidlech. Dále se kontroly a interní audity zaměřovaly na porušování rozpočtové kázně podle zákona č. 250/2000 Sb., o rozpočtových pravidlech územních rozpočtů, na hospodaření a nakládání s majetkem, inventarizaci a dodržování zákona č. 563/1991 Sb., o účetnictví.</w:t>
      </w:r>
    </w:p>
    <w:p w:rsidR="00F27B03" w:rsidRDefault="00F27B03" w:rsidP="00B93429">
      <w:pPr>
        <w:ind w:firstLine="708"/>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Z předložených zpráv vyplývá, že vnitřní kontrolní systém je v orgánech veřejné správy v souladu se zákonem č. 320/2001 Sb., o finanční kontrole. Pro posílení systému finančního řízení a kontroly byly aktualizovány vnitř</w:t>
      </w:r>
      <w:r>
        <w:rPr>
          <w:rFonts w:ascii="Times New Roman" w:hAnsi="Times New Roman"/>
          <w:sz w:val="24"/>
          <w:szCs w:val="24"/>
          <w:lang w:eastAsia="hi-IN" w:bidi="hi-IN"/>
        </w:rPr>
        <w:t>n</w:t>
      </w:r>
      <w:r>
        <w:rPr>
          <w:rFonts w:ascii="Times New Roman" w:eastAsia="SimSun" w:hAnsi="Times New Roman"/>
          <w:kern w:val="1"/>
          <w:sz w:val="24"/>
          <w:szCs w:val="24"/>
          <w:lang w:eastAsia="hi-IN" w:bidi="hi-IN"/>
        </w:rPr>
        <w:t>í směrnice a normy, byly aktualizovány a zaváděny systémy pro odhalování závažných rizik, vznikaly nové protikorupční strategie. Přes tato opatření se však neustále opakují nedostatky při dodržování zákona č. 137/2006 Sb., o veřejných zakázkách a případy porušování rozpočtové kázně podle zákona č. 218/2000 Sb., o rozpočtových pravidlech a zákona č. 250/2000 Sb., o rozpočtových pravidlech územních rozpočtů. Z tohoto důvodu se navrhuje uložit členům vlády a vedoucím ostatních správních úřadů:</w:t>
      </w:r>
    </w:p>
    <w:p w:rsidR="00F27B03" w:rsidRDefault="00F27B03" w:rsidP="00B93429">
      <w:pPr>
        <w:numPr>
          <w:ilvl w:val="0"/>
          <w:numId w:val="28"/>
        </w:numPr>
        <w:suppressAutoHyphens/>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zaměřovat i nadále finanční kontroly a interní audity v orgánech veřejné správy na</w:t>
      </w:r>
    </w:p>
    <w:p w:rsidR="00F27B03" w:rsidRPr="00EB4440" w:rsidRDefault="00F27B03" w:rsidP="00EB4440">
      <w:pPr>
        <w:pStyle w:val="Odstavecseseznamem"/>
        <w:numPr>
          <w:ilvl w:val="1"/>
          <w:numId w:val="36"/>
        </w:numPr>
        <w:suppressAutoHyphens/>
        <w:rPr>
          <w:rFonts w:ascii="Times New Roman" w:eastAsia="SimSun" w:hAnsi="Times New Roman"/>
          <w:kern w:val="1"/>
          <w:sz w:val="24"/>
          <w:szCs w:val="24"/>
          <w:lang w:eastAsia="hi-IN" w:bidi="hi-IN"/>
        </w:rPr>
      </w:pPr>
      <w:r w:rsidRPr="00EB4440">
        <w:rPr>
          <w:rFonts w:ascii="Times New Roman" w:eastAsia="SimSun" w:hAnsi="Times New Roman"/>
          <w:kern w:val="1"/>
          <w:sz w:val="24"/>
          <w:szCs w:val="24"/>
          <w:lang w:eastAsia="hi-IN" w:bidi="hi-IN"/>
        </w:rPr>
        <w:t>dodržování zákona o veřejných zakázk</w:t>
      </w:r>
      <w:r w:rsidRPr="00EB4440">
        <w:rPr>
          <w:rFonts w:ascii="Times New Roman" w:hAnsi="Times New Roman"/>
          <w:sz w:val="24"/>
          <w:szCs w:val="24"/>
          <w:lang w:eastAsia="hi-IN" w:bidi="hi-IN"/>
        </w:rPr>
        <w:t>á</w:t>
      </w:r>
      <w:r w:rsidRPr="00EB4440">
        <w:rPr>
          <w:rFonts w:ascii="Times New Roman" w:eastAsia="SimSun" w:hAnsi="Times New Roman"/>
          <w:kern w:val="1"/>
          <w:sz w:val="24"/>
          <w:szCs w:val="24"/>
          <w:lang w:eastAsia="hi-IN" w:bidi="hi-IN"/>
        </w:rPr>
        <w:t>ch,</w:t>
      </w:r>
    </w:p>
    <w:p w:rsidR="00F27B03" w:rsidRPr="00EB4440" w:rsidRDefault="00F27B03" w:rsidP="00EB4440">
      <w:pPr>
        <w:pStyle w:val="Odstavecseseznamem"/>
        <w:numPr>
          <w:ilvl w:val="1"/>
          <w:numId w:val="36"/>
        </w:numPr>
        <w:tabs>
          <w:tab w:val="left" w:pos="978"/>
        </w:tabs>
        <w:suppressAutoHyphens/>
        <w:rPr>
          <w:rFonts w:ascii="Times New Roman" w:eastAsia="SimSun" w:hAnsi="Times New Roman"/>
          <w:kern w:val="1"/>
          <w:sz w:val="24"/>
          <w:szCs w:val="24"/>
          <w:lang w:eastAsia="hi-IN" w:bidi="hi-IN"/>
        </w:rPr>
      </w:pPr>
      <w:r w:rsidRPr="00EB4440">
        <w:rPr>
          <w:rFonts w:ascii="Times New Roman" w:eastAsia="SimSun" w:hAnsi="Times New Roman"/>
          <w:kern w:val="1"/>
          <w:sz w:val="24"/>
          <w:szCs w:val="24"/>
          <w:lang w:eastAsia="hi-IN" w:bidi="hi-IN"/>
        </w:rPr>
        <w:t xml:space="preserve">odhalování porušování rozpočtové kázně podle zákona č. 218/2000 Sb., </w:t>
      </w:r>
      <w:r>
        <w:rPr>
          <w:rFonts w:ascii="Times New Roman" w:eastAsia="SimSun" w:hAnsi="Times New Roman"/>
          <w:kern w:val="1"/>
          <w:sz w:val="24"/>
          <w:szCs w:val="24"/>
          <w:lang w:eastAsia="hi-IN" w:bidi="hi-IN"/>
        </w:rPr>
        <w:t>o rozpočtových pravidlech</w:t>
      </w:r>
      <w:r w:rsidRPr="00EB4440">
        <w:rPr>
          <w:rFonts w:ascii="Times New Roman" w:eastAsia="SimSun" w:hAnsi="Times New Roman"/>
          <w:kern w:val="1"/>
          <w:sz w:val="24"/>
          <w:szCs w:val="24"/>
          <w:lang w:eastAsia="hi-IN" w:bidi="hi-IN"/>
        </w:rPr>
        <w:t>,</w:t>
      </w:r>
    </w:p>
    <w:p w:rsidR="00F27B03" w:rsidRDefault="00F27B03" w:rsidP="007208EB">
      <w:pPr>
        <w:rPr>
          <w:rFonts w:ascii="Times New Roman" w:hAnsi="Times New Roman"/>
          <w:sz w:val="24"/>
          <w:szCs w:val="24"/>
        </w:rPr>
      </w:pPr>
      <w:r w:rsidRPr="00EB4440">
        <w:rPr>
          <w:rFonts w:ascii="Times New Roman" w:eastAsia="SimSun" w:hAnsi="Times New Roman"/>
          <w:kern w:val="1"/>
          <w:sz w:val="24"/>
          <w:szCs w:val="24"/>
          <w:lang w:eastAsia="hi-IN" w:bidi="hi-IN"/>
        </w:rPr>
        <w:t>odhalování skutečností nasvědčujících spáchání trestn</w:t>
      </w:r>
      <w:r>
        <w:rPr>
          <w:rFonts w:ascii="Times New Roman" w:eastAsia="SimSun" w:hAnsi="Times New Roman"/>
          <w:kern w:val="1"/>
          <w:sz w:val="24"/>
          <w:szCs w:val="24"/>
          <w:lang w:eastAsia="hi-IN" w:bidi="hi-IN"/>
        </w:rPr>
        <w:t>é</w:t>
      </w:r>
      <w:r w:rsidRPr="00EB4440">
        <w:rPr>
          <w:rFonts w:ascii="Times New Roman" w:eastAsia="SimSun" w:hAnsi="Times New Roman"/>
          <w:kern w:val="1"/>
          <w:sz w:val="24"/>
          <w:szCs w:val="24"/>
          <w:lang w:eastAsia="hi-IN" w:bidi="hi-IN"/>
        </w:rPr>
        <w:t>ho činu při hospodaření s finančními prostředky a majetkem</w:t>
      </w:r>
      <w:r>
        <w:rPr>
          <w:rFonts w:ascii="Times New Roman" w:eastAsia="SimSun" w:hAnsi="Times New Roman"/>
          <w:kern w:val="1"/>
          <w:sz w:val="24"/>
          <w:szCs w:val="24"/>
          <w:lang w:eastAsia="hi-IN" w:bidi="hi-IN"/>
        </w:rPr>
        <w:t>.</w:t>
      </w:r>
    </w:p>
    <w:p w:rsidR="00F27B03" w:rsidRDefault="00F27B03" w:rsidP="007208EB">
      <w:pPr>
        <w:rPr>
          <w:rFonts w:ascii="Times New Roman" w:hAnsi="Times New Roman"/>
          <w:b/>
          <w:sz w:val="28"/>
          <w:szCs w:val="28"/>
        </w:rPr>
      </w:pPr>
    </w:p>
    <w:p w:rsidR="00F27B03" w:rsidRDefault="00F27B03" w:rsidP="007208EB">
      <w:pPr>
        <w:rPr>
          <w:rFonts w:ascii="Times New Roman" w:hAnsi="Times New Roman"/>
          <w:b/>
          <w:sz w:val="28"/>
          <w:szCs w:val="28"/>
        </w:rPr>
      </w:pPr>
      <w:r w:rsidRPr="009761CF">
        <w:rPr>
          <w:rFonts w:ascii="Times New Roman" w:hAnsi="Times New Roman"/>
          <w:b/>
          <w:sz w:val="28"/>
          <w:szCs w:val="28"/>
        </w:rPr>
        <w:lastRenderedPageBreak/>
        <w:t>Příloha č. 1</w:t>
      </w:r>
      <w:r w:rsidRPr="009761CF">
        <w:rPr>
          <w:rFonts w:ascii="Times New Roman" w:hAnsi="Times New Roman"/>
          <w:b/>
          <w:sz w:val="28"/>
          <w:szCs w:val="28"/>
        </w:rPr>
        <w:tab/>
      </w:r>
    </w:p>
    <w:p w:rsidR="00F27B03" w:rsidRDefault="00F27B03" w:rsidP="007208EB">
      <w:pPr>
        <w:rPr>
          <w:rFonts w:ascii="Times New Roman" w:hAnsi="Times New Roman"/>
          <w:b/>
          <w:sz w:val="28"/>
          <w:szCs w:val="28"/>
        </w:rPr>
      </w:pPr>
      <w:r w:rsidRPr="009761CF">
        <w:rPr>
          <w:rFonts w:ascii="Times New Roman" w:hAnsi="Times New Roman"/>
          <w:b/>
          <w:sz w:val="28"/>
          <w:szCs w:val="28"/>
        </w:rPr>
        <w:t>Přehled závažných zjištění z vykonaných finančních kontrol</w:t>
      </w:r>
    </w:p>
    <w:p w:rsidR="00F27B03" w:rsidRDefault="00F27B03" w:rsidP="007208EB">
      <w:pPr>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V rámci provedených finančních kontrol ve veřejné správě bylo v roce 2014 odhaleno celkem 873 skutečností nasvědčujících, že došlo ke spáchání trestného činu. Tyto skutečnosti kontrolní orgány postoupily k dalšímu šetření buď Policii České republiky, nebo příslušnému státnímu zastupitelství.</w:t>
      </w:r>
    </w:p>
    <w:p w:rsidR="00F27B03" w:rsidRDefault="00F27B03" w:rsidP="007208EB">
      <w:pPr>
        <w:rPr>
          <w:rFonts w:ascii="Times New Roman" w:hAnsi="Times New Roman"/>
          <w:sz w:val="24"/>
          <w:szCs w:val="24"/>
        </w:rPr>
      </w:pPr>
      <w:r>
        <w:rPr>
          <w:rFonts w:ascii="Times New Roman" w:hAnsi="Times New Roman"/>
          <w:sz w:val="24"/>
          <w:szCs w:val="24"/>
        </w:rPr>
        <w:tab/>
        <w:t>Převážná většina podání se týkala zjištění Úřadů práce České republiky vztahujících se k pokusu o podvod za zneužití dávek sociální podpory a podání pro neplacení výživného na vyživované osoby.</w:t>
      </w:r>
    </w:p>
    <w:p w:rsidR="00F27B03" w:rsidRDefault="00F27B03" w:rsidP="007208EB">
      <w:pPr>
        <w:rPr>
          <w:rFonts w:ascii="Times New Roman" w:hAnsi="Times New Roman"/>
          <w:sz w:val="24"/>
          <w:szCs w:val="24"/>
        </w:rPr>
      </w:pPr>
      <w:r>
        <w:rPr>
          <w:rFonts w:ascii="Times New Roman" w:hAnsi="Times New Roman"/>
          <w:sz w:val="24"/>
          <w:szCs w:val="24"/>
        </w:rPr>
        <w:tab/>
        <w:t>Vybraná významná podání jsou uvedená v následující tabulce:</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2"/>
        <w:gridCol w:w="4253"/>
        <w:gridCol w:w="2583"/>
      </w:tblGrid>
      <w:tr w:rsidR="00F27B03" w:rsidRPr="00702991" w:rsidTr="00702991">
        <w:tc>
          <w:tcPr>
            <w:tcW w:w="2552" w:type="dxa"/>
            <w:tcBorders>
              <w:top w:val="single" w:sz="12" w:space="0" w:color="auto"/>
              <w:bottom w:val="single" w:sz="12" w:space="0" w:color="auto"/>
            </w:tcBorders>
          </w:tcPr>
          <w:p w:rsidR="00F27B03" w:rsidRPr="00702991" w:rsidRDefault="00F27B03" w:rsidP="00702991">
            <w:pPr>
              <w:spacing w:after="0" w:line="240" w:lineRule="auto"/>
              <w:jc w:val="center"/>
              <w:rPr>
                <w:rFonts w:ascii="Times New Roman" w:hAnsi="Times New Roman"/>
                <w:b/>
                <w:sz w:val="24"/>
                <w:szCs w:val="24"/>
              </w:rPr>
            </w:pPr>
            <w:r w:rsidRPr="00702991">
              <w:rPr>
                <w:rFonts w:ascii="Times New Roman" w:hAnsi="Times New Roman"/>
                <w:b/>
                <w:sz w:val="24"/>
                <w:szCs w:val="24"/>
              </w:rPr>
              <w:t>Kdo zjištění učinil a oznámil</w:t>
            </w:r>
          </w:p>
        </w:tc>
        <w:tc>
          <w:tcPr>
            <w:tcW w:w="4253" w:type="dxa"/>
            <w:tcBorders>
              <w:top w:val="single" w:sz="12" w:space="0" w:color="auto"/>
              <w:bottom w:val="single" w:sz="12" w:space="0" w:color="auto"/>
            </w:tcBorders>
          </w:tcPr>
          <w:p w:rsidR="00F27B03" w:rsidRPr="00702991" w:rsidRDefault="00F27B03" w:rsidP="00702991">
            <w:pPr>
              <w:spacing w:after="0" w:line="240" w:lineRule="auto"/>
              <w:jc w:val="center"/>
              <w:rPr>
                <w:rFonts w:ascii="Times New Roman" w:hAnsi="Times New Roman"/>
                <w:b/>
                <w:sz w:val="24"/>
                <w:szCs w:val="24"/>
              </w:rPr>
            </w:pPr>
            <w:r w:rsidRPr="00702991">
              <w:rPr>
                <w:rFonts w:ascii="Times New Roman" w:hAnsi="Times New Roman"/>
                <w:b/>
                <w:sz w:val="24"/>
                <w:szCs w:val="24"/>
              </w:rPr>
              <w:t>Charakteristika zjištění</w:t>
            </w:r>
          </w:p>
        </w:tc>
        <w:tc>
          <w:tcPr>
            <w:tcW w:w="2583" w:type="dxa"/>
            <w:tcBorders>
              <w:top w:val="single" w:sz="12" w:space="0" w:color="auto"/>
              <w:bottom w:val="single" w:sz="12" w:space="0" w:color="auto"/>
            </w:tcBorders>
          </w:tcPr>
          <w:p w:rsidR="00F27B03" w:rsidRPr="00702991" w:rsidRDefault="00F27B03" w:rsidP="00702991">
            <w:pPr>
              <w:spacing w:after="0" w:line="240" w:lineRule="auto"/>
              <w:jc w:val="center"/>
              <w:rPr>
                <w:rFonts w:ascii="Times New Roman" w:hAnsi="Times New Roman"/>
                <w:b/>
                <w:sz w:val="24"/>
                <w:szCs w:val="24"/>
              </w:rPr>
            </w:pPr>
            <w:r w:rsidRPr="00702991">
              <w:rPr>
                <w:rFonts w:ascii="Times New Roman" w:hAnsi="Times New Roman"/>
                <w:b/>
                <w:sz w:val="24"/>
                <w:szCs w:val="24"/>
              </w:rPr>
              <w:t>Vyčíslená škoda v Kč</w:t>
            </w:r>
          </w:p>
        </w:tc>
      </w:tr>
      <w:tr w:rsidR="00F27B03" w:rsidRPr="00702991" w:rsidTr="00702991">
        <w:tc>
          <w:tcPr>
            <w:tcW w:w="2552" w:type="dxa"/>
            <w:tcBorders>
              <w:top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školství, mládeže a tělovýchovy</w:t>
            </w:r>
          </w:p>
        </w:tc>
        <w:tc>
          <w:tcPr>
            <w:tcW w:w="4253" w:type="dxa"/>
            <w:tcBorders>
              <w:top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Porušení povinností při správě cizího majetku*</w:t>
            </w:r>
          </w:p>
        </w:tc>
        <w:tc>
          <w:tcPr>
            <w:tcW w:w="2583" w:type="dxa"/>
            <w:tcBorders>
              <w:top w:val="single" w:sz="12" w:space="0" w:color="auto"/>
            </w:tcBorders>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 xml:space="preserve">107 419 343,35 </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školství, mládeže a tělovýchovy</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Porušení povinností při správě cizího majetku*</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88 834 463,99</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Generální ředitelství cel</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Maření úkolů úřední osoby</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26 925 809,15</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SPO – zařízení služeb pro Ministerstvo vnitra</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 xml:space="preserve">Krádež </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14 347 848,00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Generální ředitelství cel</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Maření úkolů úřední osoby</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2 964 555,00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Inspekce ministra obrany</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Neoprávněná fakturace služeb</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2 259 997,13</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Generální ředitelství cel</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Maření úkolů úřední osoby</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2 202 945,00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Národní zemědělské muzeum</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Zpronevěra</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1 485 552,92</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Statutární město Karviná</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Podvod</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587 335,00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Fakultní nemocnice Olomouc</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Podvod</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525 404,00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vnitra</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Neoprávněné použití prostředků dotace</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347 175,00</w:t>
            </w:r>
          </w:p>
        </w:tc>
      </w:tr>
      <w:tr w:rsidR="00F27B03" w:rsidRPr="00702991" w:rsidTr="00702991">
        <w:tc>
          <w:tcPr>
            <w:tcW w:w="2552" w:type="dxa"/>
            <w:tcBorders>
              <w:bottom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SPO – zařízení služeb pro Ministerstvo vnitra</w:t>
            </w:r>
          </w:p>
        </w:tc>
        <w:tc>
          <w:tcPr>
            <w:tcW w:w="4253" w:type="dxa"/>
            <w:tcBorders>
              <w:bottom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Podvod</w:t>
            </w:r>
          </w:p>
        </w:tc>
        <w:tc>
          <w:tcPr>
            <w:tcW w:w="2583" w:type="dxa"/>
            <w:tcBorders>
              <w:bottom w:val="single" w:sz="12" w:space="0" w:color="auto"/>
            </w:tcBorders>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190 000,00</w:t>
            </w:r>
          </w:p>
        </w:tc>
      </w:tr>
    </w:tbl>
    <w:p w:rsidR="00F27B03" w:rsidRPr="00A45A3B" w:rsidRDefault="00F27B03" w:rsidP="00ED1FCD">
      <w:pPr>
        <w:spacing w:line="240" w:lineRule="auto"/>
        <w:rPr>
          <w:rFonts w:ascii="Times New Roman" w:hAnsi="Times New Roman"/>
        </w:rPr>
      </w:pPr>
      <w:r>
        <w:rPr>
          <w:rFonts w:ascii="Times New Roman" w:hAnsi="Times New Roman"/>
          <w:sz w:val="24"/>
          <w:szCs w:val="24"/>
        </w:rPr>
        <w:t xml:space="preserve">* </w:t>
      </w:r>
      <w:r>
        <w:rPr>
          <w:rFonts w:ascii="Times New Roman" w:hAnsi="Times New Roman"/>
        </w:rPr>
        <w:t>Dle sdělení MŠMT byla věc v listopadu 2014 Policií České republiky odložena, nebylo shledáno ve věci správy cizího majetku pochybení.</w:t>
      </w:r>
    </w:p>
    <w:p w:rsidR="00F27B03" w:rsidRDefault="00F27B03" w:rsidP="00A45A3B">
      <w:pPr>
        <w:ind w:firstLine="708"/>
        <w:rPr>
          <w:rFonts w:ascii="Times New Roman" w:hAnsi="Times New Roman"/>
          <w:sz w:val="24"/>
          <w:szCs w:val="24"/>
        </w:rPr>
      </w:pPr>
    </w:p>
    <w:p w:rsidR="00F27B03" w:rsidRDefault="00F27B03" w:rsidP="00B31E6D">
      <w:pPr>
        <w:ind w:firstLine="708"/>
        <w:rPr>
          <w:rFonts w:ascii="Times New Roman" w:hAnsi="Times New Roman"/>
          <w:sz w:val="24"/>
          <w:szCs w:val="24"/>
        </w:rPr>
      </w:pPr>
      <w:r>
        <w:rPr>
          <w:rFonts w:ascii="Times New Roman" w:hAnsi="Times New Roman"/>
          <w:sz w:val="24"/>
          <w:szCs w:val="24"/>
        </w:rPr>
        <w:t xml:space="preserve">Při výkonu veřejnosprávní kontroly, jak je uvedeno v části III. Veřejnosprávní kontroly hospodaření s veřejnými prostředky České republiky bylo podáno celkem 30 oznámení Policii České republiky, nebo příslušnému státnímu zastupitelství pro podezření ze spáchání trestního činu. </w:t>
      </w:r>
    </w:p>
    <w:p w:rsidR="00F27B03" w:rsidRDefault="00F27B03" w:rsidP="00ED1FCD">
      <w:pPr>
        <w:rPr>
          <w:rFonts w:ascii="Times New Roman" w:hAnsi="Times New Roman"/>
          <w:sz w:val="24"/>
          <w:szCs w:val="24"/>
        </w:rPr>
      </w:pPr>
      <w:r>
        <w:rPr>
          <w:rFonts w:ascii="Times New Roman" w:hAnsi="Times New Roman"/>
          <w:sz w:val="24"/>
          <w:szCs w:val="24"/>
        </w:rPr>
        <w:lastRenderedPageBreak/>
        <w:t>V následující tabulce je přehled podání s vyčíslenou škodou vyšší než 1 mil. Kč:</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2"/>
        <w:gridCol w:w="4253"/>
        <w:gridCol w:w="2583"/>
      </w:tblGrid>
      <w:tr w:rsidR="00F27B03" w:rsidRPr="00702991" w:rsidTr="00702991">
        <w:tc>
          <w:tcPr>
            <w:tcW w:w="2552" w:type="dxa"/>
            <w:tcBorders>
              <w:top w:val="single" w:sz="12" w:space="0" w:color="auto"/>
              <w:bottom w:val="single" w:sz="12" w:space="0" w:color="auto"/>
            </w:tcBorders>
          </w:tcPr>
          <w:p w:rsidR="00F27B03" w:rsidRPr="00702991" w:rsidRDefault="00F27B03" w:rsidP="00702991">
            <w:pPr>
              <w:spacing w:after="0" w:line="240" w:lineRule="auto"/>
              <w:jc w:val="center"/>
              <w:rPr>
                <w:rFonts w:ascii="Times New Roman" w:hAnsi="Times New Roman"/>
                <w:b/>
                <w:sz w:val="24"/>
                <w:szCs w:val="24"/>
              </w:rPr>
            </w:pPr>
            <w:r w:rsidRPr="00702991">
              <w:rPr>
                <w:rFonts w:ascii="Times New Roman" w:hAnsi="Times New Roman"/>
                <w:b/>
                <w:sz w:val="24"/>
                <w:szCs w:val="24"/>
              </w:rPr>
              <w:t>Kdo zjištění učinil a oznámil</w:t>
            </w:r>
          </w:p>
        </w:tc>
        <w:tc>
          <w:tcPr>
            <w:tcW w:w="4253" w:type="dxa"/>
            <w:tcBorders>
              <w:top w:val="single" w:sz="12" w:space="0" w:color="auto"/>
              <w:bottom w:val="single" w:sz="12" w:space="0" w:color="auto"/>
            </w:tcBorders>
          </w:tcPr>
          <w:p w:rsidR="00F27B03" w:rsidRPr="00702991" w:rsidRDefault="00F27B03" w:rsidP="00702991">
            <w:pPr>
              <w:spacing w:after="0" w:line="240" w:lineRule="auto"/>
              <w:jc w:val="center"/>
              <w:rPr>
                <w:rFonts w:ascii="Times New Roman" w:hAnsi="Times New Roman"/>
                <w:b/>
                <w:sz w:val="24"/>
                <w:szCs w:val="24"/>
              </w:rPr>
            </w:pPr>
            <w:r w:rsidRPr="00702991">
              <w:rPr>
                <w:rFonts w:ascii="Times New Roman" w:hAnsi="Times New Roman"/>
                <w:b/>
                <w:sz w:val="24"/>
                <w:szCs w:val="24"/>
              </w:rPr>
              <w:t>Charakteristika zjištění</w:t>
            </w:r>
          </w:p>
        </w:tc>
        <w:tc>
          <w:tcPr>
            <w:tcW w:w="2583" w:type="dxa"/>
            <w:tcBorders>
              <w:top w:val="single" w:sz="12" w:space="0" w:color="auto"/>
              <w:bottom w:val="single" w:sz="12" w:space="0" w:color="auto"/>
            </w:tcBorders>
          </w:tcPr>
          <w:p w:rsidR="00F27B03" w:rsidRPr="00702991" w:rsidRDefault="00F27B03" w:rsidP="00702991">
            <w:pPr>
              <w:spacing w:after="0" w:line="240" w:lineRule="auto"/>
              <w:jc w:val="center"/>
              <w:rPr>
                <w:rFonts w:ascii="Times New Roman" w:hAnsi="Times New Roman"/>
                <w:b/>
                <w:sz w:val="24"/>
                <w:szCs w:val="24"/>
              </w:rPr>
            </w:pPr>
            <w:r w:rsidRPr="00702991">
              <w:rPr>
                <w:rFonts w:ascii="Times New Roman" w:hAnsi="Times New Roman"/>
                <w:b/>
                <w:sz w:val="24"/>
                <w:szCs w:val="24"/>
              </w:rPr>
              <w:t>Vyčíslená škoda v Kč</w:t>
            </w:r>
          </w:p>
        </w:tc>
      </w:tr>
      <w:tr w:rsidR="00F27B03" w:rsidRPr="00702991" w:rsidTr="00702991">
        <w:tc>
          <w:tcPr>
            <w:tcW w:w="2552" w:type="dxa"/>
            <w:tcBorders>
              <w:top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vnitra</w:t>
            </w:r>
          </w:p>
        </w:tc>
        <w:tc>
          <w:tcPr>
            <w:tcW w:w="4253" w:type="dxa"/>
            <w:tcBorders>
              <w:top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Porušení povinnosti při správě cizího majetku</w:t>
            </w:r>
          </w:p>
        </w:tc>
        <w:tc>
          <w:tcPr>
            <w:tcW w:w="2583" w:type="dxa"/>
            <w:tcBorders>
              <w:top w:val="single" w:sz="12" w:space="0" w:color="auto"/>
            </w:tcBorders>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50 000 000,00</w:t>
            </w:r>
          </w:p>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 xml:space="preserve"> </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financí</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Neoprávněné nakládání s dárkovými předměty</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13 700 207,29</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Středočeský kraj</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 xml:space="preserve">Zpronevěra </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6 664 752,00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vnitra</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Zadání veřejné zakázky v JŘBÚ</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6 000 000,00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Státní zemědělský intervenční fond</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Možné neoprávněné čerpání dotace</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5 910 000,00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pro místní rozvoj</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Ztráta dobrého jména</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5 050 000,00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Ministerstvo pro místní rozvoj</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Ztráta dobrého jména</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4 400 000,00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Státní zemědělský intervenční fond</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Možné neoprávněné čerpání dotace</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3 703 500,00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ÚP – krajská pobočka Ústí nad Labem</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Podvod</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2 715 071,00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Jihočeský kraj</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 xml:space="preserve">Zpronevěra </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2 653 603,00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obec Zastávka u Brna</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 xml:space="preserve">Zpronevěra </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1 889 407,00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město Lomnice</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 xml:space="preserve">Zpronevěra </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1 850 000,00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Inspekce ministra obrany</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Porušení povinnosti při správě cizího majetku</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1 769 518,00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město Prostějov</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Porušení povinnosti při správě cizího majetku</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1 400 000,00</w:t>
            </w:r>
          </w:p>
        </w:tc>
      </w:tr>
      <w:tr w:rsidR="00F27B03" w:rsidRPr="00702991" w:rsidTr="00702991">
        <w:tc>
          <w:tcPr>
            <w:tcW w:w="2552"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Státní zemědělský intervenční fond</w:t>
            </w:r>
          </w:p>
        </w:tc>
        <w:tc>
          <w:tcPr>
            <w:tcW w:w="4253" w:type="dxa"/>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Možné neoprávněné čerpání dotace</w:t>
            </w:r>
          </w:p>
        </w:tc>
        <w:tc>
          <w:tcPr>
            <w:tcW w:w="2583" w:type="dxa"/>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1 199 947,00</w:t>
            </w:r>
          </w:p>
        </w:tc>
      </w:tr>
      <w:tr w:rsidR="00F27B03" w:rsidRPr="00702991" w:rsidTr="00702991">
        <w:tc>
          <w:tcPr>
            <w:tcW w:w="2552" w:type="dxa"/>
            <w:tcBorders>
              <w:bottom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Česká školní inspekce</w:t>
            </w:r>
          </w:p>
        </w:tc>
        <w:tc>
          <w:tcPr>
            <w:tcW w:w="4253" w:type="dxa"/>
            <w:tcBorders>
              <w:bottom w:val="single" w:sz="12" w:space="0" w:color="auto"/>
            </w:tcBorders>
          </w:tcPr>
          <w:p w:rsidR="00F27B03" w:rsidRPr="00702991" w:rsidRDefault="00F27B03" w:rsidP="00702991">
            <w:pPr>
              <w:spacing w:after="0" w:line="240" w:lineRule="auto"/>
              <w:rPr>
                <w:rFonts w:ascii="Times New Roman" w:hAnsi="Times New Roman"/>
                <w:sz w:val="24"/>
                <w:szCs w:val="24"/>
              </w:rPr>
            </w:pPr>
            <w:r w:rsidRPr="00702991">
              <w:rPr>
                <w:rFonts w:ascii="Times New Roman" w:hAnsi="Times New Roman"/>
                <w:sz w:val="24"/>
                <w:szCs w:val="24"/>
              </w:rPr>
              <w:t>Neprůkazné použití prostředků státního rozpočtu</w:t>
            </w:r>
          </w:p>
        </w:tc>
        <w:tc>
          <w:tcPr>
            <w:tcW w:w="2583" w:type="dxa"/>
            <w:tcBorders>
              <w:bottom w:val="single" w:sz="12" w:space="0" w:color="auto"/>
            </w:tcBorders>
          </w:tcPr>
          <w:p w:rsidR="00F27B03" w:rsidRPr="00702991" w:rsidRDefault="00F27B03" w:rsidP="00702991">
            <w:pPr>
              <w:spacing w:after="0" w:line="240" w:lineRule="auto"/>
              <w:jc w:val="right"/>
              <w:rPr>
                <w:rFonts w:ascii="Times New Roman" w:hAnsi="Times New Roman"/>
                <w:sz w:val="24"/>
                <w:szCs w:val="24"/>
              </w:rPr>
            </w:pPr>
            <w:r w:rsidRPr="00702991">
              <w:rPr>
                <w:rFonts w:ascii="Times New Roman" w:hAnsi="Times New Roman"/>
                <w:sz w:val="24"/>
                <w:szCs w:val="24"/>
              </w:rPr>
              <w:t>1 129 416,00</w:t>
            </w:r>
          </w:p>
        </w:tc>
      </w:tr>
    </w:tbl>
    <w:p w:rsidR="00F27B03" w:rsidRDefault="00F27B03" w:rsidP="004A0AA0">
      <w:pPr>
        <w:ind w:firstLine="708"/>
        <w:rPr>
          <w:rFonts w:ascii="Times New Roman" w:hAnsi="Times New Roman"/>
          <w:sz w:val="24"/>
          <w:szCs w:val="24"/>
        </w:rPr>
      </w:pPr>
    </w:p>
    <w:p w:rsidR="00F27B03" w:rsidRPr="00B93429" w:rsidRDefault="00F27B03" w:rsidP="00B93429">
      <w:pPr>
        <w:suppressAutoHyphens/>
        <w:ind w:firstLine="708"/>
        <w:rPr>
          <w:rFonts w:ascii="Times New Roman" w:eastAsia="SimSun" w:hAnsi="Times New Roman"/>
          <w:kern w:val="1"/>
          <w:sz w:val="24"/>
          <w:szCs w:val="24"/>
          <w:lang w:eastAsia="ar-SA"/>
        </w:rPr>
      </w:pPr>
      <w:r w:rsidRPr="00B93429">
        <w:rPr>
          <w:rFonts w:ascii="Times New Roman" w:eastAsia="SimSun" w:hAnsi="Times New Roman"/>
          <w:kern w:val="1"/>
          <w:sz w:val="24"/>
          <w:szCs w:val="24"/>
          <w:lang w:eastAsia="ar-SA"/>
        </w:rPr>
        <w:t xml:space="preserve">Při kontrolách jinými orgány bylo u orgánů veřejné zprávy zjištěno porušení rozpočtové kázně podle ustanovení § 44 zákona č. 218/2000 Sb., </w:t>
      </w:r>
      <w:r>
        <w:rPr>
          <w:rFonts w:ascii="Times New Roman" w:eastAsia="SimSun" w:hAnsi="Times New Roman"/>
          <w:kern w:val="1"/>
          <w:sz w:val="24"/>
          <w:szCs w:val="24"/>
          <w:lang w:eastAsia="hi-IN" w:bidi="hi-IN"/>
        </w:rPr>
        <w:t>o rozpočtových pravidlech</w:t>
      </w:r>
      <w:r w:rsidRPr="00B93429">
        <w:rPr>
          <w:rFonts w:ascii="Times New Roman" w:eastAsia="SimSun" w:hAnsi="Times New Roman"/>
          <w:kern w:val="1"/>
          <w:sz w:val="24"/>
          <w:szCs w:val="24"/>
          <w:lang w:eastAsia="ar-SA"/>
        </w:rPr>
        <w:t>, za porušení § 22 zákona č. 250/2000 Sb., o rozpočtových pravidlech územních rozpočtů a</w:t>
      </w:r>
      <w:r>
        <w:rPr>
          <w:rFonts w:ascii="Times New Roman" w:eastAsia="SimSun" w:hAnsi="Times New Roman"/>
          <w:kern w:val="1"/>
          <w:sz w:val="24"/>
          <w:szCs w:val="24"/>
          <w:lang w:eastAsia="ar-SA"/>
        </w:rPr>
        <w:t> </w:t>
      </w:r>
      <w:r w:rsidRPr="00B93429">
        <w:rPr>
          <w:rFonts w:ascii="Times New Roman" w:eastAsia="SimSun" w:hAnsi="Times New Roman"/>
          <w:kern w:val="1"/>
          <w:sz w:val="24"/>
          <w:szCs w:val="24"/>
          <w:lang w:eastAsia="ar-SA"/>
        </w:rPr>
        <w:t>sankce uložené na základě jiných právních předpisů (pokuty, penále), které bylo předáno k</w:t>
      </w:r>
      <w:r>
        <w:rPr>
          <w:rFonts w:ascii="Times New Roman" w:eastAsia="SimSun" w:hAnsi="Times New Roman"/>
          <w:kern w:val="1"/>
          <w:sz w:val="24"/>
          <w:szCs w:val="24"/>
          <w:lang w:eastAsia="ar-SA"/>
        </w:rPr>
        <w:t> </w:t>
      </w:r>
      <w:r w:rsidRPr="00B93429">
        <w:rPr>
          <w:rFonts w:ascii="Times New Roman" w:eastAsia="SimSun" w:hAnsi="Times New Roman"/>
          <w:kern w:val="1"/>
          <w:sz w:val="24"/>
          <w:szCs w:val="24"/>
          <w:lang w:eastAsia="ar-SA"/>
        </w:rPr>
        <w:t xml:space="preserve">řešení příslušným finančním úřadům, v celkové výši cca 28.259 mil. Kč. Jednalo se převážně o odvody při čerpání dotací z Evropské unie a odvody vyměřené regionálními radami nebo finančními úřady, např. odvod vyměřený Jihočeskému kraji za dva projekty v celkové výši 283.054 tis. Kč; odvod vyměřený Ředitelství silnic a dálnic za 7 případů neoprávněného použití nebo zadržení prostředků v celkové výši 2.652.388 tis. Kč a penále ve výši 2.650.481 tis. Kč; odvod vyměřený Finančním úřadem pro hlavní město Praha Úřadu vlády ve výši 550.896 tis. Kč; odvod vyměřený Finančním úřadem pro </w:t>
      </w:r>
      <w:r>
        <w:rPr>
          <w:rFonts w:ascii="Times New Roman" w:eastAsia="SimSun" w:hAnsi="Times New Roman"/>
          <w:kern w:val="1"/>
          <w:sz w:val="24"/>
          <w:szCs w:val="24"/>
          <w:lang w:eastAsia="ar-SA"/>
        </w:rPr>
        <w:t xml:space="preserve">hlavní město </w:t>
      </w:r>
      <w:r w:rsidRPr="00B93429">
        <w:rPr>
          <w:rFonts w:ascii="Times New Roman" w:eastAsia="SimSun" w:hAnsi="Times New Roman"/>
          <w:kern w:val="1"/>
          <w:sz w:val="24"/>
          <w:szCs w:val="24"/>
          <w:lang w:eastAsia="ar-SA"/>
        </w:rPr>
        <w:t xml:space="preserve">Prahu </w:t>
      </w:r>
      <w:r w:rsidRPr="00B93429">
        <w:rPr>
          <w:rFonts w:ascii="Times New Roman" w:eastAsia="SimSun" w:hAnsi="Times New Roman"/>
          <w:kern w:val="1"/>
          <w:sz w:val="24"/>
          <w:szCs w:val="24"/>
          <w:lang w:eastAsia="ar-SA"/>
        </w:rPr>
        <w:lastRenderedPageBreak/>
        <w:t>Ministerstvu práce a sociálních věcí za 10 případů v celkové výši 94.393 tis. Kč; sankce vyměřené Moravskoslezskému kraji za 5 projektů v celkové výši 72.154 tis. Kč; odvod vyměřený Finančním úřadem pro hlavní město Prahu Ministerstvu zahraničních věcí ve výši 229.944 tis. Kč; odvody vyměřené Finančním úřadem pro hlavní město Pra</w:t>
      </w:r>
      <w:r>
        <w:rPr>
          <w:rFonts w:ascii="Times New Roman" w:eastAsia="SimSun" w:hAnsi="Times New Roman"/>
          <w:kern w:val="1"/>
          <w:sz w:val="24"/>
          <w:szCs w:val="24"/>
          <w:lang w:eastAsia="ar-SA"/>
        </w:rPr>
        <w:t>h</w:t>
      </w:r>
      <w:r w:rsidRPr="00B93429">
        <w:rPr>
          <w:rFonts w:ascii="Times New Roman" w:eastAsia="SimSun" w:hAnsi="Times New Roman"/>
          <w:kern w:val="1"/>
          <w:sz w:val="24"/>
          <w:szCs w:val="24"/>
          <w:lang w:eastAsia="ar-SA"/>
        </w:rPr>
        <w:t>u Ministerstvu zemědělství ve výši 535.496 tis. Kč a penále 475.073 tis. Kč a odvod ve výši 112.457 tis. Kč a penále ve výši 37.486 tis. Kč. Ve většině případů byl finanční úřad požádán o prominutí nebo posečkání.</w:t>
      </w: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9761CF">
      <w:pPr>
        <w:rPr>
          <w:rFonts w:ascii="Times New Roman" w:hAnsi="Times New Roman"/>
          <w:b/>
          <w:sz w:val="28"/>
          <w:szCs w:val="28"/>
        </w:rPr>
      </w:pPr>
    </w:p>
    <w:p w:rsidR="00F27B03" w:rsidRDefault="00F27B03" w:rsidP="00A45A3B">
      <w:pPr>
        <w:rPr>
          <w:rFonts w:ascii="Times New Roman" w:hAnsi="Times New Roman"/>
          <w:b/>
          <w:sz w:val="28"/>
          <w:szCs w:val="28"/>
        </w:rPr>
      </w:pPr>
    </w:p>
    <w:p w:rsidR="00F27B03" w:rsidRDefault="00F27B03" w:rsidP="00A45A3B">
      <w:pPr>
        <w:rPr>
          <w:rFonts w:ascii="Times New Roman" w:hAnsi="Times New Roman"/>
          <w:b/>
          <w:sz w:val="28"/>
          <w:szCs w:val="28"/>
        </w:rPr>
      </w:pPr>
    </w:p>
    <w:p w:rsidR="00F27B03" w:rsidRDefault="00F27B03" w:rsidP="00A45A3B">
      <w:pPr>
        <w:rPr>
          <w:rFonts w:ascii="Times New Roman" w:hAnsi="Times New Roman"/>
          <w:b/>
          <w:sz w:val="28"/>
          <w:szCs w:val="28"/>
        </w:rPr>
      </w:pPr>
    </w:p>
    <w:p w:rsidR="00F27B03" w:rsidRDefault="00F27B03" w:rsidP="00A45A3B">
      <w:pPr>
        <w:rPr>
          <w:rFonts w:ascii="Times New Roman" w:hAnsi="Times New Roman"/>
          <w:b/>
          <w:sz w:val="28"/>
          <w:szCs w:val="28"/>
        </w:rPr>
      </w:pPr>
    </w:p>
    <w:p w:rsidR="00F27B03" w:rsidRDefault="00F27B03" w:rsidP="00903D85">
      <w:pPr>
        <w:rPr>
          <w:rFonts w:ascii="Times New Roman" w:hAnsi="Times New Roman"/>
          <w:b/>
          <w:sz w:val="28"/>
          <w:szCs w:val="28"/>
        </w:rPr>
      </w:pPr>
      <w:r w:rsidRPr="00F863FC">
        <w:rPr>
          <w:rFonts w:ascii="Times New Roman" w:hAnsi="Times New Roman"/>
          <w:b/>
          <w:sz w:val="28"/>
          <w:szCs w:val="28"/>
        </w:rPr>
        <w:lastRenderedPageBreak/>
        <w:t xml:space="preserve">Příloha č. 2 </w:t>
      </w:r>
    </w:p>
    <w:p w:rsidR="00F27B03" w:rsidRPr="00F863FC" w:rsidRDefault="00F27B03" w:rsidP="00F863FC">
      <w:pPr>
        <w:rPr>
          <w:rFonts w:ascii="Times New Roman" w:hAnsi="Times New Roman"/>
          <w:b/>
          <w:sz w:val="28"/>
          <w:szCs w:val="28"/>
        </w:rPr>
      </w:pPr>
      <w:r w:rsidRPr="00F863FC">
        <w:rPr>
          <w:rFonts w:ascii="Times New Roman" w:hAnsi="Times New Roman"/>
          <w:b/>
          <w:sz w:val="28"/>
          <w:szCs w:val="28"/>
        </w:rPr>
        <w:t>Přehled výsledků veřejnosprávních kontrol a auditů finan</w:t>
      </w:r>
      <w:r>
        <w:rPr>
          <w:rFonts w:ascii="Times New Roman" w:hAnsi="Times New Roman"/>
          <w:b/>
          <w:sz w:val="28"/>
          <w:szCs w:val="28"/>
        </w:rPr>
        <w:t xml:space="preserve">čních prostředků </w:t>
      </w:r>
      <w:r w:rsidRPr="00F863FC">
        <w:rPr>
          <w:rFonts w:ascii="Times New Roman" w:hAnsi="Times New Roman"/>
          <w:b/>
          <w:sz w:val="28"/>
          <w:szCs w:val="28"/>
        </w:rPr>
        <w:t>ze zahraničí</w:t>
      </w:r>
    </w:p>
    <w:p w:rsidR="00F27B03" w:rsidRPr="00F863FC" w:rsidRDefault="00F27B03" w:rsidP="00F863FC">
      <w:pPr>
        <w:spacing w:after="0" w:line="240" w:lineRule="auto"/>
        <w:ind w:left="720" w:hanging="540"/>
        <w:rPr>
          <w:rFonts w:ascii="Times New Roman" w:hAnsi="Times New Roman"/>
          <w:bCs/>
          <w:sz w:val="24"/>
          <w:szCs w:val="24"/>
          <w:lang w:eastAsia="cs-CZ"/>
        </w:rPr>
      </w:pPr>
      <w:r w:rsidRPr="00F863FC">
        <w:rPr>
          <w:rFonts w:ascii="Times New Roman" w:hAnsi="Times New Roman"/>
          <w:bCs/>
          <w:sz w:val="24"/>
          <w:szCs w:val="24"/>
          <w:lang w:eastAsia="cs-CZ"/>
        </w:rPr>
        <w:t>Auditní zjištění Auditního orgánu identifikovaná v rámci „</w:t>
      </w:r>
      <w:r w:rsidRPr="00F863FC">
        <w:rPr>
          <w:rFonts w:ascii="Times New Roman" w:hAnsi="Times New Roman"/>
          <w:bCs/>
          <w:i/>
          <w:sz w:val="24"/>
          <w:szCs w:val="24"/>
          <w:lang w:eastAsia="cs-CZ"/>
        </w:rPr>
        <w:t>auditů operací</w:t>
      </w:r>
      <w:r w:rsidRPr="00F863FC">
        <w:rPr>
          <w:rFonts w:ascii="Times New Roman" w:hAnsi="Times New Roman"/>
          <w:bCs/>
          <w:sz w:val="24"/>
          <w:szCs w:val="24"/>
          <w:lang w:eastAsia="cs-CZ"/>
        </w:rPr>
        <w:t>“ (obecně):</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 xml:space="preserve">A. </w:t>
      </w:r>
      <w:r w:rsidRPr="00F863FC">
        <w:rPr>
          <w:rFonts w:ascii="Times New Roman" w:hAnsi="Times New Roman"/>
          <w:b/>
          <w:bCs/>
          <w:sz w:val="24"/>
          <w:szCs w:val="24"/>
          <w:lang w:eastAsia="cs-CZ"/>
        </w:rPr>
        <w:tab/>
        <w:t>Způsobilost výdajů</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čerpání vyšší dotace než byla uvedena ve Smlouvě</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nesoulad mezi předloženou fakturací a zjištěnou skutečností: proplácení </w:t>
      </w:r>
      <w:r w:rsidRPr="00F863FC">
        <w:rPr>
          <w:rFonts w:ascii="Times New Roman" w:hAnsi="Times New Roman"/>
          <w:bCs/>
          <w:sz w:val="24"/>
          <w:szCs w:val="24"/>
          <w:lang w:eastAsia="cs-CZ"/>
        </w:rPr>
        <w:tab/>
        <w:t>nevykonané práce/nedodaného zboží</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nesoulad zápisů ve stavebním deníku s fakturací způsobilých výdajů</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dodávky před/po datu způsobilosti</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neprokázání existence a vlastnictví aktiva</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osobní náklady a jejich alokace na projekt (neúplné/chybějící pracovní smlouvy, </w:t>
      </w:r>
      <w:r w:rsidRPr="00F863FC">
        <w:rPr>
          <w:rFonts w:ascii="Times New Roman" w:hAnsi="Times New Roman"/>
          <w:bCs/>
          <w:sz w:val="24"/>
          <w:szCs w:val="24"/>
          <w:lang w:eastAsia="cs-CZ"/>
        </w:rPr>
        <w:tab/>
        <w:t>výkazy)</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vícenásobné uplatnění výdajů</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dvojí financování</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ceny v projektu neodpovídají tržním cenám (předražené EU projekty)</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položky snižující způsobilé náklady (smluvní pokuty, nevykazování úroků na </w:t>
      </w:r>
      <w:r w:rsidRPr="00F863FC">
        <w:rPr>
          <w:rFonts w:ascii="Times New Roman" w:hAnsi="Times New Roman"/>
          <w:bCs/>
          <w:sz w:val="24"/>
          <w:szCs w:val="24"/>
          <w:lang w:eastAsia="cs-CZ"/>
        </w:rPr>
        <w:tab/>
        <w:t xml:space="preserve">projektových účtech) </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B.</w:t>
      </w:r>
      <w:r w:rsidRPr="00F863FC">
        <w:rPr>
          <w:rFonts w:ascii="Times New Roman" w:hAnsi="Times New Roman"/>
          <w:b/>
          <w:bCs/>
          <w:sz w:val="24"/>
          <w:szCs w:val="24"/>
          <w:lang w:eastAsia="cs-CZ"/>
        </w:rPr>
        <w:tab/>
        <w:t xml:space="preserve">Způsobilost projektu/naplnění stanovených cílů </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cíl projektu se neshoduje s cílem oblasti podpory</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nefunkční projekt </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projekt slouží jinému než schválenému účelu </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nedodržení podmínek udržitelnosti projektu</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C.</w:t>
      </w:r>
      <w:r w:rsidRPr="00F863FC">
        <w:rPr>
          <w:rFonts w:ascii="Times New Roman" w:hAnsi="Times New Roman"/>
          <w:b/>
          <w:bCs/>
          <w:sz w:val="24"/>
          <w:szCs w:val="24"/>
          <w:lang w:eastAsia="cs-CZ"/>
        </w:rPr>
        <w:tab/>
        <w:t xml:space="preserve">Publicita </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nedostatečná publicita na tištěných materiálech projektu</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neuvedení odkazu na financování z Evropské unie</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produkty pořízené v rámci projektu neopatřeny logem operačního programu</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D.</w:t>
      </w:r>
      <w:r w:rsidRPr="00F863FC">
        <w:rPr>
          <w:rFonts w:ascii="Times New Roman" w:hAnsi="Times New Roman"/>
          <w:b/>
          <w:bCs/>
          <w:sz w:val="24"/>
          <w:szCs w:val="24"/>
          <w:lang w:eastAsia="cs-CZ"/>
        </w:rPr>
        <w:tab/>
        <w:t>Účetnictví</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není vedeno oddělené účetnictví</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špatné zaúčtování položky</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E.</w:t>
      </w:r>
      <w:r w:rsidRPr="00F863FC">
        <w:rPr>
          <w:rFonts w:ascii="Times New Roman" w:hAnsi="Times New Roman"/>
          <w:b/>
          <w:bCs/>
          <w:sz w:val="24"/>
          <w:szCs w:val="24"/>
          <w:lang w:eastAsia="cs-CZ"/>
        </w:rPr>
        <w:tab/>
        <w:t>Dostupnost podkladů pro audit</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nepředložení kompletní dokumentace projektu</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odepření vstupu do prostor příjemce </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nedostupnost dat</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F.</w:t>
      </w:r>
      <w:r w:rsidRPr="00F863FC">
        <w:rPr>
          <w:rFonts w:ascii="Times New Roman" w:hAnsi="Times New Roman"/>
          <w:b/>
          <w:bCs/>
          <w:sz w:val="24"/>
          <w:szCs w:val="24"/>
          <w:lang w:eastAsia="cs-CZ"/>
        </w:rPr>
        <w:tab/>
        <w:t xml:space="preserve">Veřejná podpora </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xml:space="preserve">- ÚOHS se vyjadřuje, rozhoduje Evropská komise </w:t>
      </w:r>
    </w:p>
    <w:p w:rsidR="00F27B03" w:rsidRPr="00F863FC" w:rsidRDefault="00F27B03" w:rsidP="00903D85">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
        <w:t>- naplnění znaků veřejné podpory</w:t>
      </w:r>
    </w:p>
    <w:p w:rsidR="00F27B03"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spacing w:after="0" w:line="240" w:lineRule="auto"/>
        <w:rPr>
          <w:rFonts w:ascii="Times New Roman" w:hAnsi="Times New Roman"/>
          <w:bCs/>
          <w:i/>
          <w:sz w:val="24"/>
          <w:szCs w:val="24"/>
          <w:lang w:eastAsia="cs-CZ"/>
        </w:rPr>
      </w:pPr>
      <w:r w:rsidRPr="00F863FC">
        <w:rPr>
          <w:rFonts w:ascii="Times New Roman" w:hAnsi="Times New Roman"/>
          <w:bCs/>
          <w:sz w:val="24"/>
          <w:szCs w:val="24"/>
          <w:lang w:eastAsia="cs-CZ"/>
        </w:rPr>
        <w:lastRenderedPageBreak/>
        <w:t>Hlavní nedostatky identifikované v rámci výkonu auditu – „</w:t>
      </w:r>
      <w:r w:rsidRPr="00F863FC">
        <w:rPr>
          <w:rFonts w:ascii="Times New Roman" w:hAnsi="Times New Roman"/>
          <w:bCs/>
          <w:i/>
          <w:sz w:val="24"/>
          <w:szCs w:val="24"/>
          <w:lang w:eastAsia="cs-CZ"/>
        </w:rPr>
        <w:t>veřejné zakázky“:</w:t>
      </w:r>
    </w:p>
    <w:p w:rsidR="00F27B03" w:rsidRPr="00F863FC" w:rsidRDefault="00F27B03" w:rsidP="00F863FC">
      <w:pPr>
        <w:spacing w:after="0" w:line="240" w:lineRule="auto"/>
        <w:rPr>
          <w:rFonts w:ascii="Times New Roman" w:hAnsi="Times New Roman"/>
          <w:b/>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Oznámení o zakázce a zadávací podmínky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nezveřejnění oznámení o zakázce</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umělé rozdělení zakázek na práce / služby / dodávky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nedodržení lhůt pro doručení nabídek, nebo lhůt pro doručení žádostí o účast</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nedostatečná doba k tomu, aby si potenciální uchazeči nebo zájemci opatřili zadávací dokumentaci</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nezveřejnění prodloužených lhůt pro doručení nabídek, nebo prodloužených lhůt pro doručení žádostí o účast</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případy, které neodůvodňují použití jednacího řízení s předchozím zveřejněním oznámení o zakázce</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neuvedení kritérií pro výběr v oznámení o zakázce, a/nebo kritérií pro zadání zakázky (a jejich váhu) v oznámení o zakázce nebo v zadávacích podmínkách</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protiprávní a/nebo diskriminační kritérií pro výběr a/nebo kritérií pro zadání zakázky stanovená v oznámení o zakázce nebo v zadávací dokumentaci</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kritéria pro výběr se nevztahují k předmětu zakázky a nejsou mu úměrná</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diskriminační technické kvalifikační předpoklady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nedostatečná definice předmětu zakázky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Hodnocení nabídek</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změna kritérií pro výběr po otevření nabídek, jež vede k nesprávnému přijetí uchazečů</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změna kritérií pro výběr po otevření nabídek, jež vede k nesprávnému odmítnutí uchazečů</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hodnocení uchazečů/zájemců podle nezákonných kritérií pro výběr nebo zadání zakázky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nedostatek transparentnosti nebo rovného zacházení při hodnocení</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změna nabídky během hodnocení</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jednání během řízení o udělení zakázky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jednací řízení s předchozím zveřejněním oznámení o zakázce se zásadními změnami podmínek uvedených v oznámení o zakázce nebo zadávacích podmínkách</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odmítnutí mimořádně nízkých nabídek</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střet zájmů</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Provádění zakázky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podstatná změna prvků zakázky uvedených v oznámení o zakázce nebo zadávacích podmínkách (cenu, povahu prací, lhůtu pro dokončení, platební podmínky a použité materiály)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omezení rozsahu zakázky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zadávání zakázek na dodatečné práce / služby / dodávky (pokud takové zadání představuje významnou změnu původních podmínek zakázky) bez hospodářské soutěže, aniž je splněna jedna z podmínek krajní naléhavost způsobená nepředvídatelnými událostmi a nepředvídaná okolnost pro doplňkové práce, služby, dodávky</w:t>
      </w:r>
    </w:p>
    <w:p w:rsidR="00F27B03" w:rsidRPr="00F863FC" w:rsidRDefault="00F27B03" w:rsidP="00C20038">
      <w:pPr>
        <w:numPr>
          <w:ilvl w:val="0"/>
          <w:numId w:val="19"/>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dodatečné práce nebo služby překračující limit stanovený v příslušných ustanoveních</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lastRenderedPageBreak/>
        <w:t>Auditní zjištění Auditního orgánu  – „</w:t>
      </w:r>
      <w:r w:rsidRPr="00F863FC">
        <w:rPr>
          <w:rFonts w:ascii="Times New Roman" w:hAnsi="Times New Roman"/>
          <w:bCs/>
          <w:i/>
          <w:sz w:val="24"/>
          <w:szCs w:val="24"/>
          <w:lang w:eastAsia="cs-CZ"/>
        </w:rPr>
        <w:t>audit systému“:</w:t>
      </w:r>
    </w:p>
    <w:p w:rsidR="00F27B03" w:rsidRPr="00F863FC" w:rsidRDefault="00F27B03" w:rsidP="00F863FC">
      <w:pPr>
        <w:spacing w:after="0" w:line="240" w:lineRule="auto"/>
        <w:rPr>
          <w:rFonts w:ascii="Times New Roman" w:hAnsi="Times New Roman"/>
          <w:b/>
          <w:bCs/>
          <w:sz w:val="24"/>
          <w:szCs w:val="24"/>
          <w:lang w:eastAsia="cs-CZ"/>
        </w:rPr>
      </w:pPr>
    </w:p>
    <w:p w:rsidR="00F27B03" w:rsidRPr="00F863FC" w:rsidRDefault="00F27B03" w:rsidP="00F863FC">
      <w:pPr>
        <w:spacing w:after="0"/>
        <w:ind w:firstLine="708"/>
        <w:rPr>
          <w:rFonts w:ascii="Times New Roman" w:hAnsi="Times New Roman"/>
          <w:sz w:val="24"/>
          <w:szCs w:val="24"/>
          <w:lang w:eastAsia="cs-CZ"/>
        </w:rPr>
      </w:pPr>
      <w:r w:rsidRPr="00F863FC">
        <w:rPr>
          <w:rFonts w:ascii="Times New Roman" w:hAnsi="Times New Roman"/>
          <w:sz w:val="24"/>
          <w:szCs w:val="24"/>
          <w:lang w:eastAsia="cs-CZ"/>
        </w:rPr>
        <w:t>Hlavní zjištění Auditního orgánu v rámci vymezení klíčových požadavků (dále „KP“) v souladu s dokumentem COCOF 08/0019/00-EN.</w:t>
      </w: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
          <w:bCs/>
          <w:sz w:val="24"/>
          <w:szCs w:val="24"/>
          <w:lang w:eastAsia="cs-CZ"/>
        </w:rPr>
      </w:pPr>
      <w:r w:rsidRPr="00F863FC">
        <w:rPr>
          <w:rFonts w:ascii="Times New Roman" w:hAnsi="Times New Roman"/>
          <w:b/>
          <w:bCs/>
          <w:sz w:val="24"/>
          <w:szCs w:val="24"/>
          <w:lang w:eastAsia="cs-CZ"/>
        </w:rPr>
        <w:t>KP-1: Jasné vymezení, rozdělení a oddělení funkcí mezi ŘO a ZS a v jejich rámci</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Nesoulad interních směrnic ZS s postupy pro řízení daného operačního programu</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Nedostatečné ověřování delegovaných činností ze strany ŘO</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Neuplatňování odpovídajících sankcí při nesprávné implementaci ZS/externími dodavateli z úrovně ŘO/ZS </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Nesoulad pracovní náplně pracovníků ŘO/ZS s vykonávanými činnostmi (překryv/nepokrytí kompetencí)</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Nejednoznačné nastavení zastupitelnosti zaměstnanců</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Nedostatečné nastavení postupu řešení nesrovnalostí</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Nedostatečné oddělení neslučitelných funkcí (hl. při výběru projektu)</w:t>
      </w:r>
    </w:p>
    <w:p w:rsidR="00F27B03" w:rsidRPr="00F863FC" w:rsidRDefault="00F27B03" w:rsidP="00C20038">
      <w:pPr>
        <w:numPr>
          <w:ilvl w:val="0"/>
          <w:numId w:val="20"/>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Vysoká fluktuace zaměstnanců ŘO/ZS</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KP-2 Odpovídající postupy pro výběr operací:</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Výběrová kritéria nebyla schválena monitorovacím výborem</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Nedoložení způsobu tvorby výzev a jejich schvalování</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Výzvy obsahují diskriminační výběrová kritéria </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Hodnotitelé: tvorba databáze, netransparentní způsob jejich výběru (riziko střetu zájmů), nedostatečné nastavení jejich odpovědnosti a kompetencí, hodnotí jen jeden hodnotitel apod.</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Neprovedení dostatečných kontrol údajů v žádosti </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Nedostatečné zdůvodnění vyřazení projektů </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Neexistuje dostatečná dokumentace a archivace neúspěšných žadatelů</w:t>
      </w:r>
    </w:p>
    <w:p w:rsidR="00F27B03" w:rsidRPr="00F863FC" w:rsidRDefault="00F27B03" w:rsidP="00C20038">
      <w:pPr>
        <w:numPr>
          <w:ilvl w:val="0"/>
          <w:numId w:val="21"/>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Výsledky hodnocení nebyly zveřejněny</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KP-3: Odpovídající informace pro poskytnutí pokynů příjemcům</w:t>
      </w:r>
    </w:p>
    <w:p w:rsidR="00F27B03" w:rsidRPr="00F863FC" w:rsidRDefault="00F27B03" w:rsidP="00C20038">
      <w:pPr>
        <w:numPr>
          <w:ilvl w:val="0"/>
          <w:numId w:val="22"/>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Údaje na webových stránkách jednotlivých operačních programů nejsou řádně aktualizovány</w:t>
      </w:r>
    </w:p>
    <w:p w:rsidR="00F27B03" w:rsidRPr="00F863FC" w:rsidRDefault="00F27B03" w:rsidP="00C20038">
      <w:pPr>
        <w:numPr>
          <w:ilvl w:val="0"/>
          <w:numId w:val="22"/>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Nedostatečné nastavení podmínek pro provedení kontroly u příjemce</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KP-4: Odpovídající ověření řízení</w:t>
      </w:r>
    </w:p>
    <w:p w:rsidR="00F27B03" w:rsidRPr="00F863FC" w:rsidRDefault="00F27B03" w:rsidP="00C20038">
      <w:pPr>
        <w:numPr>
          <w:ilvl w:val="0"/>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Nedostatky v nastavení sledování finanční alokace a čerpání zdrojů na operační program </w:t>
      </w:r>
    </w:p>
    <w:p w:rsidR="00F27B03" w:rsidRPr="00F863FC" w:rsidRDefault="00F27B03" w:rsidP="00C20038">
      <w:pPr>
        <w:numPr>
          <w:ilvl w:val="0"/>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Nedostatky kontrolních listů: </w:t>
      </w:r>
    </w:p>
    <w:p w:rsidR="00F27B03" w:rsidRPr="00F863FC" w:rsidRDefault="00F27B03" w:rsidP="00C20038">
      <w:pPr>
        <w:numPr>
          <w:ilvl w:val="1"/>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Neúplné či příliš obecné kontrolní listy (hlavně v oblasti VZ)</w:t>
      </w:r>
    </w:p>
    <w:p w:rsidR="00F27B03" w:rsidRPr="00F863FC" w:rsidRDefault="00F27B03" w:rsidP="00C20038">
      <w:pPr>
        <w:numPr>
          <w:ilvl w:val="1"/>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Formální vyplňování kontrolních listů bez provedení nutných testů/analýz</w:t>
      </w:r>
    </w:p>
    <w:p w:rsidR="00F27B03" w:rsidRPr="00F863FC" w:rsidRDefault="00F27B03" w:rsidP="00C20038">
      <w:pPr>
        <w:numPr>
          <w:ilvl w:val="1"/>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Nepoužití aktuální verze kontrolního listu</w:t>
      </w:r>
    </w:p>
    <w:p w:rsidR="00F27B03" w:rsidRPr="00F863FC" w:rsidRDefault="00F27B03" w:rsidP="00C20038">
      <w:pPr>
        <w:numPr>
          <w:ilvl w:val="0"/>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Nedostatky prováděných kontrol (administrativní i na místě): </w:t>
      </w:r>
    </w:p>
    <w:p w:rsidR="00F27B03" w:rsidRPr="00F863FC" w:rsidRDefault="00F27B03" w:rsidP="00C20038">
      <w:pPr>
        <w:numPr>
          <w:ilvl w:val="1"/>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Chybějící/Nedostatečné testování dvojího financování z úrovně ŘO/ZS</w:t>
      </w:r>
    </w:p>
    <w:p w:rsidR="00F27B03" w:rsidRPr="00F863FC" w:rsidRDefault="00F27B03" w:rsidP="00C20038">
      <w:pPr>
        <w:numPr>
          <w:ilvl w:val="1"/>
          <w:numId w:val="23"/>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Výběr vzorku kontrol: počet kontrol a reprezentativnost</w:t>
      </w:r>
    </w:p>
    <w:p w:rsidR="00F27B03" w:rsidRPr="00F863FC" w:rsidRDefault="00F27B03" w:rsidP="00C20038">
      <w:pPr>
        <w:numPr>
          <w:ilvl w:val="0"/>
          <w:numId w:val="24"/>
        </w:num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rPr>
          <w:rFonts w:ascii="Times New Roman" w:hAnsi="Times New Roman"/>
          <w:bCs/>
          <w:sz w:val="24"/>
          <w:szCs w:val="24"/>
          <w:lang w:eastAsia="cs-CZ"/>
        </w:rPr>
      </w:pPr>
      <w:r w:rsidRPr="00F863FC">
        <w:rPr>
          <w:rFonts w:ascii="Times New Roman" w:hAnsi="Times New Roman"/>
          <w:bCs/>
          <w:sz w:val="24"/>
          <w:szCs w:val="24"/>
          <w:lang w:eastAsia="cs-CZ"/>
        </w:rPr>
        <w:lastRenderedPageBreak/>
        <w:t>Nízká kvalita a efektivita kontrolní činnosti (pouze formální kontrola, nízká kvalifikace zaměstnanců, nedodržení nastavených postupů)</w:t>
      </w:r>
    </w:p>
    <w:p w:rsidR="00F27B03" w:rsidRPr="00F863FC" w:rsidRDefault="00F27B03" w:rsidP="00C20038">
      <w:pPr>
        <w:numPr>
          <w:ilvl w:val="0"/>
          <w:numId w:val="24"/>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Nedostatečné ověřování změn v průběhu realizace projektů (ve vazbě na původní záměr, na hodnotící kritéria, vyhodnocení nutnosti změn a jejich oprávněnosti pro dokončení projektu)</w:t>
      </w:r>
    </w:p>
    <w:p w:rsidR="00F27B03" w:rsidRPr="00F863FC" w:rsidRDefault="00F27B03" w:rsidP="00C20038">
      <w:pPr>
        <w:numPr>
          <w:ilvl w:val="0"/>
          <w:numId w:val="24"/>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Časté delegování úkolů na externí subjekty a naprosté spoléhání se na obdržené závěry </w:t>
      </w:r>
    </w:p>
    <w:p w:rsidR="00F27B03" w:rsidRPr="00F863FC" w:rsidRDefault="00F27B03" w:rsidP="00C20038">
      <w:pPr>
        <w:numPr>
          <w:ilvl w:val="0"/>
          <w:numId w:val="24"/>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Nedostatky v oblasti sledování rizik z úrovně ŘO/ZS</w:t>
      </w:r>
    </w:p>
    <w:p w:rsidR="00F27B03" w:rsidRPr="00F863FC" w:rsidRDefault="00F27B03" w:rsidP="00C20038">
      <w:pPr>
        <w:numPr>
          <w:ilvl w:val="0"/>
          <w:numId w:val="24"/>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Nedostatečná kontrola činností delegovaných na ZS ze strany ŘO</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KP-5: Odpovídající pomůcky pro audit trail se zaměřením na finanční toky</w:t>
      </w:r>
    </w:p>
    <w:p w:rsidR="00F27B03" w:rsidRPr="00F863FC" w:rsidRDefault="00F27B03" w:rsidP="00C20038">
      <w:pPr>
        <w:numPr>
          <w:ilvl w:val="0"/>
          <w:numId w:val="25"/>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Neúplnost projektové dokumentace </w:t>
      </w:r>
    </w:p>
    <w:p w:rsidR="00F27B03" w:rsidRPr="00F863FC" w:rsidRDefault="00F27B03" w:rsidP="00C20038">
      <w:pPr>
        <w:numPr>
          <w:ilvl w:val="0"/>
          <w:numId w:val="25"/>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Používání neplatných formulářů   </w:t>
      </w:r>
    </w:p>
    <w:p w:rsidR="00F27B03" w:rsidRPr="00F863FC" w:rsidRDefault="00F27B03" w:rsidP="00C20038">
      <w:pPr>
        <w:numPr>
          <w:ilvl w:val="0"/>
          <w:numId w:val="25"/>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Dokumentace není označena razítkem a textem jednoznačně identifikujícím projekt</w:t>
      </w:r>
    </w:p>
    <w:p w:rsidR="00F27B03" w:rsidRPr="00F863FC" w:rsidRDefault="00F27B03" w:rsidP="00C20038">
      <w:pPr>
        <w:numPr>
          <w:ilvl w:val="0"/>
          <w:numId w:val="25"/>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Rozdílnost v datech v IS a v podkladové dokumentaci</w:t>
      </w:r>
    </w:p>
    <w:p w:rsidR="00F27B03" w:rsidRPr="00F863FC" w:rsidRDefault="00F27B03" w:rsidP="00C20038">
      <w:pPr>
        <w:numPr>
          <w:ilvl w:val="0"/>
          <w:numId w:val="25"/>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Absence záznamů o provedení kontrolní činnosti</w:t>
      </w:r>
    </w:p>
    <w:p w:rsidR="00F27B03" w:rsidRPr="00F863FC" w:rsidRDefault="00F27B03" w:rsidP="00C20038">
      <w:pPr>
        <w:numPr>
          <w:ilvl w:val="0"/>
          <w:numId w:val="25"/>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Elektronická komunikace nebyla opatřena elektronickým podpisem</w:t>
      </w:r>
      <w:r w:rsidRPr="00F863FC">
        <w:rPr>
          <w:rFonts w:ascii="Times New Roman" w:hAnsi="Times New Roman"/>
          <w:b/>
          <w:bCs/>
          <w:sz w:val="24"/>
          <w:szCs w:val="24"/>
          <w:lang w:eastAsia="cs-CZ"/>
        </w:rPr>
        <w:t xml:space="preserve"> </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KP-6: Spolehlivé účetní systémy, monitorovací systémy a systémy finančního výkaznictví v elektronické podobě</w:t>
      </w:r>
    </w:p>
    <w:p w:rsidR="00F27B03" w:rsidRPr="00F863FC" w:rsidRDefault="00F27B03" w:rsidP="00C20038">
      <w:pPr>
        <w:numPr>
          <w:ilvl w:val="0"/>
          <w:numId w:val="26"/>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Nepřesná, neúplná a neaktualizovaná data v IS</w:t>
      </w:r>
    </w:p>
    <w:p w:rsidR="00F27B03" w:rsidRPr="00F863FC" w:rsidRDefault="00F27B03" w:rsidP="00C20038">
      <w:pPr>
        <w:numPr>
          <w:ilvl w:val="0"/>
          <w:numId w:val="26"/>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Používání IS daného operačního programu i pro jiné projekty </w:t>
      </w:r>
    </w:p>
    <w:p w:rsidR="00F27B03" w:rsidRPr="00F863FC" w:rsidRDefault="00F27B03" w:rsidP="00C20038">
      <w:pPr>
        <w:numPr>
          <w:ilvl w:val="0"/>
          <w:numId w:val="26"/>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Nedostatečná ochrana informací</w:t>
      </w:r>
    </w:p>
    <w:p w:rsidR="00F27B03" w:rsidRPr="00F863FC" w:rsidRDefault="00F27B03" w:rsidP="00C20038">
      <w:pPr>
        <w:numPr>
          <w:ilvl w:val="0"/>
          <w:numId w:val="26"/>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 xml:space="preserve">Absence sledování hlášení nesrovnalostí </w:t>
      </w:r>
    </w:p>
    <w:p w:rsidR="00F27B03" w:rsidRPr="00F863FC" w:rsidRDefault="00F27B03" w:rsidP="00C20038">
      <w:pPr>
        <w:numPr>
          <w:ilvl w:val="0"/>
          <w:numId w:val="26"/>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Absence průběžného sledování čerpání prostředků</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
          <w:bCs/>
          <w:sz w:val="24"/>
          <w:szCs w:val="24"/>
          <w:lang w:eastAsia="cs-CZ"/>
        </w:rPr>
        <w:t>KP-7: Nezbytná preventivní a nápravná opatření v případě systémových chyb zjištěných Auditním orgánem</w:t>
      </w:r>
    </w:p>
    <w:p w:rsidR="00F27B03" w:rsidRPr="00F863FC" w:rsidRDefault="00F27B03" w:rsidP="00C20038">
      <w:pPr>
        <w:numPr>
          <w:ilvl w:val="0"/>
          <w:numId w:val="27"/>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Nejsou definovány postupy a zavedena nápravná opatření v případě identifikace systémových nedostatků</w:t>
      </w:r>
    </w:p>
    <w:p w:rsidR="00F27B03" w:rsidRPr="00F863FC" w:rsidRDefault="00F27B03" w:rsidP="00C20038">
      <w:pPr>
        <w:numPr>
          <w:ilvl w:val="0"/>
          <w:numId w:val="27"/>
        </w:num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bCs/>
          <w:sz w:val="24"/>
          <w:szCs w:val="24"/>
          <w:lang w:eastAsia="cs-CZ"/>
        </w:rPr>
      </w:pPr>
      <w:r w:rsidRPr="00F863FC">
        <w:rPr>
          <w:rFonts w:ascii="Times New Roman" w:hAnsi="Times New Roman"/>
          <w:bCs/>
          <w:sz w:val="24"/>
          <w:szCs w:val="24"/>
          <w:lang w:eastAsia="cs-CZ"/>
        </w:rPr>
        <w:t>Nejsou zavedeny postupy pro nakládání se závěry zpráv z auditů, vnějších kontrol a šetření stížností, vč. distribuce jejich závěrů</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F27B03" w:rsidP="00EB4440">
      <w:pPr>
        <w:spacing w:after="0"/>
        <w:rPr>
          <w:rFonts w:ascii="Times New Roman" w:hAnsi="Times New Roman"/>
          <w:bCs/>
          <w:sz w:val="24"/>
          <w:szCs w:val="24"/>
          <w:lang w:eastAsia="cs-CZ"/>
        </w:rPr>
      </w:pPr>
      <w:r w:rsidRPr="00F863FC">
        <w:rPr>
          <w:rFonts w:ascii="Times New Roman" w:hAnsi="Times New Roman"/>
          <w:bCs/>
          <w:sz w:val="24"/>
          <w:szCs w:val="24"/>
          <w:lang w:eastAsia="cs-CZ"/>
        </w:rPr>
        <w:t>Komentář k tabulce: údaje se týkají porovnání roků 2013 a 2014 v rámci identifikovaných zjištění Auditním orgánem s vysokou a střední mírou závažnosti.</w:t>
      </w:r>
    </w:p>
    <w:p w:rsidR="00F27B03" w:rsidRPr="00F863FC" w:rsidRDefault="00F27B03" w:rsidP="00F863FC">
      <w:pPr>
        <w:spacing w:after="0" w:line="240" w:lineRule="auto"/>
        <w:rPr>
          <w:rFonts w:ascii="Times New Roman" w:hAnsi="Times New Roman"/>
          <w:bCs/>
          <w:sz w:val="24"/>
          <w:szCs w:val="24"/>
          <w:lang w:eastAsia="cs-CZ"/>
        </w:rPr>
      </w:pPr>
    </w:p>
    <w:p w:rsidR="00F27B03" w:rsidRPr="00F863FC" w:rsidRDefault="008A6425" w:rsidP="00F863FC">
      <w:pPr>
        <w:spacing w:after="0" w:line="240" w:lineRule="auto"/>
        <w:rPr>
          <w:rFonts w:ascii="Times New Roman" w:hAnsi="Times New Roman"/>
          <w:bCs/>
          <w:sz w:val="24"/>
          <w:szCs w:val="24"/>
          <w:lang w:eastAsia="cs-CZ"/>
        </w:rPr>
      </w:pPr>
      <w:r>
        <w:rPr>
          <w:rFonts w:ascii="Times New Roman" w:hAnsi="Times New Roman"/>
          <w:noProof/>
          <w:sz w:val="24"/>
          <w:szCs w:val="24"/>
          <w:lang w:eastAsia="cs-CZ"/>
        </w:rPr>
        <w:lastRenderedPageBreak/>
        <w:drawing>
          <wp:inline distT="0" distB="0" distL="0" distR="0">
            <wp:extent cx="5862955" cy="4572000"/>
            <wp:effectExtent l="0" t="0" r="4445"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2955" cy="4572000"/>
                    </a:xfrm>
                    <a:prstGeom prst="rect">
                      <a:avLst/>
                    </a:prstGeom>
                    <a:noFill/>
                    <a:ln>
                      <a:noFill/>
                    </a:ln>
                  </pic:spPr>
                </pic:pic>
              </a:graphicData>
            </a:graphic>
          </wp:inline>
        </w:drawing>
      </w:r>
    </w:p>
    <w:p w:rsidR="00F27B03" w:rsidRDefault="00F27B03" w:rsidP="00F863FC">
      <w:pPr>
        <w:rPr>
          <w:rFonts w:ascii="Times New Roman" w:hAnsi="Times New Roman"/>
          <w:sz w:val="28"/>
          <w:szCs w:val="28"/>
        </w:rPr>
      </w:pPr>
      <w:r>
        <w:rPr>
          <w:rFonts w:ascii="Times New Roman" w:hAnsi="Times New Roman"/>
          <w:sz w:val="28"/>
          <w:szCs w:val="28"/>
        </w:rPr>
        <w:br/>
      </w:r>
    </w:p>
    <w:p w:rsidR="00F27B03" w:rsidRDefault="00F27B03" w:rsidP="00F863FC">
      <w:pPr>
        <w:rPr>
          <w:rFonts w:ascii="Times New Roman" w:hAnsi="Times New Roman"/>
          <w:sz w:val="28"/>
          <w:szCs w:val="28"/>
        </w:rPr>
      </w:pPr>
    </w:p>
    <w:p w:rsidR="00F27B03" w:rsidRDefault="00F27B03" w:rsidP="00F863FC">
      <w:pPr>
        <w:rPr>
          <w:rFonts w:ascii="Times New Roman" w:hAnsi="Times New Roman"/>
          <w:sz w:val="28"/>
          <w:szCs w:val="28"/>
        </w:rPr>
      </w:pPr>
    </w:p>
    <w:p w:rsidR="00F27B03" w:rsidRDefault="00F27B03" w:rsidP="00F863FC">
      <w:pPr>
        <w:rPr>
          <w:rFonts w:ascii="Times New Roman" w:hAnsi="Times New Roman"/>
          <w:sz w:val="28"/>
          <w:szCs w:val="28"/>
        </w:rPr>
      </w:pPr>
    </w:p>
    <w:p w:rsidR="00F27B03" w:rsidRDefault="00F27B03" w:rsidP="00F863FC">
      <w:pPr>
        <w:rPr>
          <w:rFonts w:ascii="Times New Roman" w:hAnsi="Times New Roman"/>
          <w:sz w:val="28"/>
          <w:szCs w:val="28"/>
        </w:rPr>
      </w:pPr>
    </w:p>
    <w:p w:rsidR="00F27B03" w:rsidRDefault="00F27B03" w:rsidP="00F863FC">
      <w:pPr>
        <w:rPr>
          <w:rFonts w:ascii="Times New Roman" w:hAnsi="Times New Roman"/>
          <w:sz w:val="28"/>
          <w:szCs w:val="28"/>
        </w:rPr>
      </w:pPr>
    </w:p>
    <w:p w:rsidR="00F27B03" w:rsidRDefault="00F27B03" w:rsidP="00F863FC">
      <w:pPr>
        <w:rPr>
          <w:rFonts w:ascii="Times New Roman" w:hAnsi="Times New Roman"/>
          <w:sz w:val="28"/>
          <w:szCs w:val="28"/>
        </w:rPr>
      </w:pPr>
    </w:p>
    <w:p w:rsidR="00F27B03" w:rsidRDefault="00F27B03" w:rsidP="00F863FC">
      <w:pPr>
        <w:rPr>
          <w:rFonts w:ascii="Times New Roman" w:hAnsi="Times New Roman"/>
          <w:sz w:val="28"/>
          <w:szCs w:val="28"/>
        </w:rPr>
      </w:pPr>
    </w:p>
    <w:p w:rsidR="00F27B03" w:rsidRPr="00F863FC" w:rsidRDefault="00F27B03" w:rsidP="00F863FC">
      <w:pPr>
        <w:rPr>
          <w:rFonts w:ascii="Times New Roman" w:hAnsi="Times New Roman"/>
          <w:sz w:val="28"/>
          <w:szCs w:val="28"/>
        </w:rPr>
      </w:pPr>
    </w:p>
    <w:p w:rsidR="00F27B03" w:rsidRDefault="00F27B03" w:rsidP="009761CF">
      <w:pPr>
        <w:ind w:left="1410" w:hanging="1410"/>
        <w:rPr>
          <w:rFonts w:ascii="Times New Roman" w:hAnsi="Times New Roman"/>
          <w:b/>
          <w:sz w:val="28"/>
          <w:szCs w:val="28"/>
        </w:rPr>
      </w:pPr>
    </w:p>
    <w:p w:rsidR="00F27B03" w:rsidRDefault="00F27B03" w:rsidP="009761CF">
      <w:pPr>
        <w:ind w:left="1410" w:hanging="1410"/>
        <w:rPr>
          <w:rFonts w:ascii="Times New Roman" w:hAnsi="Times New Roman"/>
          <w:b/>
          <w:sz w:val="28"/>
          <w:szCs w:val="28"/>
        </w:rPr>
      </w:pPr>
      <w:r w:rsidRPr="00F863FC">
        <w:rPr>
          <w:rFonts w:ascii="Times New Roman" w:hAnsi="Times New Roman"/>
          <w:b/>
          <w:sz w:val="28"/>
          <w:szCs w:val="28"/>
        </w:rPr>
        <w:lastRenderedPageBreak/>
        <w:t xml:space="preserve">Příloha č. 3 </w:t>
      </w:r>
      <w:r w:rsidRPr="00F863FC">
        <w:rPr>
          <w:rFonts w:ascii="Times New Roman" w:hAnsi="Times New Roman"/>
          <w:b/>
          <w:sz w:val="28"/>
          <w:szCs w:val="28"/>
        </w:rPr>
        <w:tab/>
      </w:r>
    </w:p>
    <w:p w:rsidR="00F27B03" w:rsidRPr="00F863FC" w:rsidRDefault="00F27B03" w:rsidP="009F41B2">
      <w:pPr>
        <w:rPr>
          <w:rFonts w:ascii="Times New Roman" w:hAnsi="Times New Roman"/>
          <w:b/>
          <w:sz w:val="28"/>
          <w:szCs w:val="28"/>
        </w:rPr>
      </w:pPr>
      <w:r w:rsidRPr="00F863FC">
        <w:rPr>
          <w:rFonts w:ascii="Times New Roman" w:hAnsi="Times New Roman"/>
          <w:b/>
          <w:sz w:val="28"/>
          <w:szCs w:val="28"/>
        </w:rPr>
        <w:t>Přehled nesrovnalostí postoupených Evropskému úřadu pro boj proti podvodům</w:t>
      </w:r>
    </w:p>
    <w:p w:rsidR="00F27B03" w:rsidRPr="009F41B2" w:rsidRDefault="00F27B03" w:rsidP="009F41B2">
      <w:pPr>
        <w:autoSpaceDE w:val="0"/>
        <w:autoSpaceDN w:val="0"/>
        <w:adjustRightInd w:val="0"/>
        <w:spacing w:line="240" w:lineRule="auto"/>
        <w:ind w:left="539" w:hanging="539"/>
        <w:rPr>
          <w:rFonts w:ascii="Times New Roman" w:hAnsi="Times New Roman"/>
          <w:b/>
          <w:sz w:val="24"/>
          <w:szCs w:val="24"/>
          <w:lang w:eastAsia="cs-CZ"/>
        </w:rPr>
      </w:pPr>
      <w:r w:rsidRPr="009F41B2">
        <w:rPr>
          <w:rFonts w:ascii="Times New Roman" w:hAnsi="Times New Roman"/>
          <w:b/>
          <w:sz w:val="24"/>
          <w:szCs w:val="24"/>
          <w:lang w:eastAsia="cs-CZ"/>
        </w:rPr>
        <w:t>Předvstupní nástroje</w:t>
      </w:r>
    </w:p>
    <w:p w:rsidR="00F27B03" w:rsidRPr="009F41B2" w:rsidRDefault="00F27B03" w:rsidP="009F41B2">
      <w:pPr>
        <w:autoSpaceDE w:val="0"/>
        <w:autoSpaceDN w:val="0"/>
        <w:adjustRightInd w:val="0"/>
        <w:spacing w:after="0" w:line="240" w:lineRule="auto"/>
        <w:ind w:left="539" w:hanging="539"/>
        <w:rPr>
          <w:rFonts w:ascii="Times New Roman" w:hAnsi="Times New Roman"/>
          <w:b/>
          <w:sz w:val="24"/>
          <w:szCs w:val="24"/>
          <w:lang w:eastAsia="cs-CZ"/>
        </w:rPr>
      </w:pPr>
    </w:p>
    <w:p w:rsidR="00F27B03" w:rsidRPr="009F41B2" w:rsidRDefault="00F27B03" w:rsidP="009F41B2">
      <w:pPr>
        <w:spacing w:after="0"/>
        <w:ind w:firstLine="540"/>
        <w:rPr>
          <w:rFonts w:ascii="Times New Roman" w:hAnsi="Times New Roman"/>
          <w:sz w:val="24"/>
          <w:szCs w:val="24"/>
          <w:lang w:eastAsia="cs-CZ"/>
        </w:rPr>
      </w:pPr>
      <w:r w:rsidRPr="009F41B2">
        <w:rPr>
          <w:rFonts w:ascii="Times New Roman" w:hAnsi="Times New Roman"/>
          <w:sz w:val="24"/>
          <w:szCs w:val="24"/>
          <w:lang w:eastAsia="cs-CZ"/>
        </w:rPr>
        <w:t>Prostřednictvím Centrálního kontaktního bodu sítě AFCOS v České republice nebyla v roce 2014 Evropskému úřadu pro boj proti podvodům (dále jen úřad OLAF) nahlášena formou pravidelných čtvrtletních zpráv o nesrovnalostech zjištěných v rámci implementace předvstupních nástrojů žádná nová nesrovnalost, pouze aktualizace již dříve nahlášených případů.</w:t>
      </w:r>
    </w:p>
    <w:p w:rsidR="00F27B03" w:rsidRPr="009F41B2" w:rsidRDefault="00F27B03" w:rsidP="009F41B2">
      <w:pPr>
        <w:ind w:firstLine="539"/>
        <w:rPr>
          <w:rFonts w:ascii="Times New Roman" w:hAnsi="Times New Roman"/>
          <w:sz w:val="24"/>
          <w:szCs w:val="24"/>
          <w:lang w:eastAsia="cs-CZ"/>
        </w:rPr>
      </w:pPr>
    </w:p>
    <w:p w:rsidR="00F27B03" w:rsidRPr="009F41B2" w:rsidRDefault="00F27B03" w:rsidP="009F41B2">
      <w:pPr>
        <w:spacing w:after="0" w:line="240" w:lineRule="auto"/>
        <w:rPr>
          <w:rFonts w:ascii="Times New Roman" w:hAnsi="Times New Roman"/>
          <w:b/>
          <w:sz w:val="24"/>
          <w:szCs w:val="24"/>
          <w:lang w:eastAsia="cs-CZ"/>
        </w:rPr>
      </w:pPr>
      <w:r w:rsidRPr="009F41B2">
        <w:rPr>
          <w:rFonts w:ascii="Times New Roman" w:hAnsi="Times New Roman"/>
          <w:b/>
          <w:sz w:val="24"/>
          <w:szCs w:val="24"/>
          <w:lang w:eastAsia="cs-CZ"/>
        </w:rPr>
        <w:t>Strukturální fondy a Fond soudržnosti – programové období 2004 – 2006</w:t>
      </w:r>
    </w:p>
    <w:p w:rsidR="00F27B03" w:rsidRPr="009F41B2" w:rsidRDefault="00F27B03" w:rsidP="009F41B2">
      <w:pPr>
        <w:spacing w:after="0" w:line="240" w:lineRule="auto"/>
        <w:rPr>
          <w:rFonts w:ascii="Times New Roman" w:hAnsi="Times New Roman"/>
          <w:sz w:val="24"/>
          <w:szCs w:val="24"/>
          <w:lang w:eastAsia="cs-CZ"/>
        </w:rPr>
      </w:pPr>
    </w:p>
    <w:p w:rsidR="00F27B03" w:rsidRPr="009F41B2" w:rsidRDefault="00F27B03" w:rsidP="009F41B2">
      <w:pPr>
        <w:spacing w:after="0"/>
        <w:ind w:firstLine="708"/>
        <w:rPr>
          <w:rFonts w:ascii="Times New Roman" w:hAnsi="Times New Roman"/>
          <w:sz w:val="24"/>
          <w:szCs w:val="24"/>
          <w:lang w:eastAsia="cs-CZ"/>
        </w:rPr>
      </w:pPr>
      <w:r w:rsidRPr="009F41B2">
        <w:rPr>
          <w:rFonts w:ascii="Times New Roman" w:hAnsi="Times New Roman"/>
          <w:sz w:val="24"/>
          <w:szCs w:val="24"/>
          <w:lang w:eastAsia="cs-CZ"/>
        </w:rPr>
        <w:t>Za oblast strukturálních fondů a Fondu soudržnosti v programovém období 2004 </w:t>
      </w:r>
      <w:r w:rsidRPr="009F41B2">
        <w:rPr>
          <w:rFonts w:ascii="Times New Roman" w:hAnsi="Times New Roman"/>
          <w:sz w:val="24"/>
          <w:szCs w:val="24"/>
          <w:lang w:eastAsia="cs-CZ"/>
        </w:rPr>
        <w:noBreakHyphen/>
        <w:t xml:space="preserve"> 2006 bylo za rok 2014 zasláno úřadu OLAF celkem </w:t>
      </w:r>
      <w:r w:rsidRPr="009F41B2">
        <w:rPr>
          <w:rFonts w:ascii="Times New Roman" w:hAnsi="Times New Roman"/>
          <w:b/>
          <w:sz w:val="24"/>
          <w:szCs w:val="24"/>
          <w:lang w:eastAsia="cs-CZ"/>
        </w:rPr>
        <w:t>11</w:t>
      </w:r>
      <w:r w:rsidRPr="009F41B2">
        <w:rPr>
          <w:rFonts w:ascii="Times New Roman" w:hAnsi="Times New Roman"/>
          <w:sz w:val="24"/>
          <w:szCs w:val="24"/>
          <w:lang w:eastAsia="cs-CZ"/>
        </w:rPr>
        <w:t xml:space="preserve"> nových</w:t>
      </w:r>
      <w:r w:rsidRPr="009F41B2">
        <w:rPr>
          <w:rFonts w:ascii="Times New Roman" w:hAnsi="Times New Roman"/>
          <w:sz w:val="24"/>
          <w:szCs w:val="24"/>
          <w:vertAlign w:val="superscript"/>
          <w:lang w:eastAsia="cs-CZ"/>
        </w:rPr>
        <w:footnoteReference w:id="1"/>
      </w:r>
      <w:r w:rsidRPr="009F41B2">
        <w:rPr>
          <w:rFonts w:ascii="Times New Roman" w:hAnsi="Times New Roman"/>
          <w:sz w:val="24"/>
          <w:szCs w:val="24"/>
          <w:lang w:eastAsia="cs-CZ"/>
        </w:rPr>
        <w:t xml:space="preserve"> hlášení nesrovnalostí v celkové výši </w:t>
      </w:r>
      <w:r w:rsidRPr="009F41B2">
        <w:rPr>
          <w:rFonts w:ascii="Times New Roman" w:hAnsi="Times New Roman"/>
          <w:b/>
          <w:sz w:val="24"/>
          <w:szCs w:val="24"/>
          <w:lang w:eastAsia="cs-CZ"/>
        </w:rPr>
        <w:t xml:space="preserve">14 424 </w:t>
      </w:r>
      <w:r w:rsidRPr="00183386">
        <w:rPr>
          <w:rFonts w:ascii="Times New Roman" w:hAnsi="Times New Roman"/>
          <w:b/>
          <w:sz w:val="24"/>
          <w:szCs w:val="24"/>
          <w:lang w:eastAsia="cs-CZ"/>
        </w:rPr>
        <w:t>217</w:t>
      </w:r>
      <w:r w:rsidRPr="00EB4440">
        <w:rPr>
          <w:rFonts w:ascii="Times New Roman" w:hAnsi="Times New Roman"/>
          <w:b/>
          <w:sz w:val="24"/>
          <w:szCs w:val="24"/>
          <w:lang w:eastAsia="cs-CZ"/>
        </w:rPr>
        <w:t xml:space="preserve"> EUR</w:t>
      </w:r>
      <w:r w:rsidRPr="009F41B2">
        <w:rPr>
          <w:rFonts w:ascii="Times New Roman" w:hAnsi="Times New Roman"/>
          <w:sz w:val="24"/>
          <w:szCs w:val="24"/>
          <w:lang w:eastAsia="cs-CZ"/>
        </w:rPr>
        <w:t xml:space="preserve">, z čehož </w:t>
      </w:r>
      <w:r w:rsidRPr="009F41B2">
        <w:rPr>
          <w:rFonts w:ascii="Times New Roman" w:hAnsi="Times New Roman"/>
          <w:b/>
          <w:sz w:val="24"/>
          <w:szCs w:val="24"/>
          <w:lang w:eastAsia="cs-CZ"/>
        </w:rPr>
        <w:t>10</w:t>
      </w:r>
      <w:r w:rsidRPr="009F41B2">
        <w:rPr>
          <w:rFonts w:ascii="Times New Roman" w:hAnsi="Times New Roman"/>
          <w:sz w:val="24"/>
          <w:szCs w:val="24"/>
          <w:lang w:eastAsia="cs-CZ"/>
        </w:rPr>
        <w:t xml:space="preserve"> nesrovnalostí ve výši </w:t>
      </w:r>
      <w:r w:rsidRPr="009F41B2">
        <w:rPr>
          <w:rFonts w:ascii="Times New Roman" w:hAnsi="Times New Roman"/>
          <w:b/>
          <w:sz w:val="24"/>
          <w:szCs w:val="24"/>
          <w:lang w:eastAsia="cs-CZ"/>
        </w:rPr>
        <w:t>13 697 239</w:t>
      </w:r>
      <w:r w:rsidRPr="009F41B2">
        <w:rPr>
          <w:rFonts w:ascii="Times New Roman" w:hAnsi="Times New Roman"/>
          <w:sz w:val="24"/>
          <w:szCs w:val="24"/>
          <w:lang w:eastAsia="cs-CZ"/>
        </w:rPr>
        <w:t xml:space="preserve"> </w:t>
      </w:r>
      <w:r w:rsidRPr="00EB4440">
        <w:rPr>
          <w:rFonts w:ascii="Times New Roman" w:hAnsi="Times New Roman"/>
          <w:b/>
          <w:sz w:val="24"/>
          <w:szCs w:val="24"/>
          <w:lang w:eastAsia="cs-CZ"/>
        </w:rPr>
        <w:t>EUR</w:t>
      </w:r>
      <w:r w:rsidRPr="009F41B2">
        <w:rPr>
          <w:rFonts w:ascii="Times New Roman" w:hAnsi="Times New Roman"/>
          <w:sz w:val="24"/>
          <w:szCs w:val="24"/>
          <w:lang w:eastAsia="cs-CZ"/>
        </w:rPr>
        <w:t xml:space="preserve"> se týkalo strukturálních fondů. K Fondu soudržnosti se vztahovala </w:t>
      </w:r>
      <w:r w:rsidRPr="009F41B2">
        <w:rPr>
          <w:rFonts w:ascii="Times New Roman" w:hAnsi="Times New Roman"/>
          <w:b/>
          <w:sz w:val="24"/>
          <w:szCs w:val="24"/>
          <w:lang w:eastAsia="cs-CZ"/>
        </w:rPr>
        <w:t>1</w:t>
      </w:r>
      <w:r w:rsidRPr="009F41B2">
        <w:rPr>
          <w:rFonts w:ascii="Times New Roman" w:hAnsi="Times New Roman"/>
          <w:sz w:val="24"/>
          <w:szCs w:val="24"/>
          <w:lang w:eastAsia="cs-CZ"/>
        </w:rPr>
        <w:t xml:space="preserve"> nesrovnalost ve výši </w:t>
      </w:r>
      <w:r w:rsidRPr="009F41B2">
        <w:rPr>
          <w:rFonts w:ascii="Times New Roman" w:hAnsi="Times New Roman"/>
          <w:b/>
          <w:sz w:val="24"/>
          <w:szCs w:val="24"/>
          <w:lang w:eastAsia="cs-CZ"/>
        </w:rPr>
        <w:t>726 978</w:t>
      </w:r>
      <w:r w:rsidRPr="009F41B2">
        <w:rPr>
          <w:rFonts w:ascii="Times New Roman" w:hAnsi="Times New Roman"/>
          <w:sz w:val="24"/>
          <w:szCs w:val="24"/>
          <w:lang w:eastAsia="cs-CZ"/>
        </w:rPr>
        <w:t xml:space="preserve"> </w:t>
      </w:r>
      <w:r w:rsidRPr="00EB4440">
        <w:rPr>
          <w:rFonts w:ascii="Times New Roman" w:hAnsi="Times New Roman"/>
          <w:b/>
          <w:sz w:val="24"/>
          <w:szCs w:val="24"/>
          <w:lang w:eastAsia="cs-CZ"/>
        </w:rPr>
        <w:t>EUR</w:t>
      </w:r>
      <w:r w:rsidRPr="009F41B2">
        <w:rPr>
          <w:rFonts w:ascii="Times New Roman" w:hAnsi="Times New Roman"/>
          <w:sz w:val="24"/>
          <w:szCs w:val="24"/>
          <w:lang w:eastAsia="cs-CZ"/>
        </w:rPr>
        <w:t>.</w:t>
      </w:r>
    </w:p>
    <w:p w:rsidR="00F27B03" w:rsidRPr="009F41B2" w:rsidRDefault="00F27B03" w:rsidP="009F41B2">
      <w:pPr>
        <w:spacing w:after="0" w:line="240" w:lineRule="auto"/>
        <w:ind w:firstLine="708"/>
        <w:rPr>
          <w:rFonts w:ascii="Times New Roman" w:hAnsi="Times New Roman"/>
          <w:sz w:val="20"/>
          <w:szCs w:val="20"/>
          <w:lang w:eastAsia="cs-CZ"/>
        </w:rPr>
      </w:pPr>
    </w:p>
    <w:p w:rsidR="00F27B03" w:rsidRPr="009F41B2" w:rsidRDefault="00F27B03" w:rsidP="009F41B2">
      <w:pPr>
        <w:spacing w:after="0" w:line="240" w:lineRule="auto"/>
        <w:jc w:val="left"/>
        <w:rPr>
          <w:rFonts w:ascii="Times New Roman" w:hAnsi="Times New Roman"/>
          <w:b/>
          <w:i/>
          <w:sz w:val="20"/>
          <w:szCs w:val="20"/>
          <w:lang w:eastAsia="cs-CZ"/>
        </w:rPr>
      </w:pPr>
    </w:p>
    <w:p w:rsidR="00F27B03" w:rsidRPr="009F41B2" w:rsidRDefault="008A6425" w:rsidP="009F41B2">
      <w:pPr>
        <w:spacing w:after="0" w:line="240" w:lineRule="auto"/>
        <w:jc w:val="left"/>
        <w:rPr>
          <w:rFonts w:ascii="Times New Roman" w:hAnsi="Times New Roman"/>
          <w:sz w:val="24"/>
          <w:szCs w:val="24"/>
          <w:lang w:eastAsia="cs-CZ"/>
        </w:rPr>
      </w:pPr>
      <w:r>
        <w:rPr>
          <w:rFonts w:ascii="Times New Roman" w:hAnsi="Times New Roman"/>
          <w:noProof/>
          <w:sz w:val="24"/>
          <w:szCs w:val="24"/>
          <w:lang w:eastAsia="cs-CZ"/>
        </w:rPr>
        <w:drawing>
          <wp:inline distT="0" distB="0" distL="0" distR="0">
            <wp:extent cx="5728335" cy="2904490"/>
            <wp:effectExtent l="0" t="0" r="0" b="0"/>
            <wp:docPr id="5"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7B03" w:rsidRPr="009F41B2" w:rsidRDefault="008A6425" w:rsidP="009F41B2">
      <w:pPr>
        <w:spacing w:after="0" w:line="240" w:lineRule="auto"/>
        <w:rPr>
          <w:rFonts w:ascii="Times New Roman" w:hAnsi="Times New Roman"/>
          <w:sz w:val="24"/>
          <w:szCs w:val="24"/>
          <w:lang w:eastAsia="cs-CZ"/>
        </w:rPr>
      </w:pPr>
      <w:r>
        <w:rPr>
          <w:rFonts w:ascii="Times New Roman" w:hAnsi="Times New Roman"/>
          <w:noProof/>
          <w:sz w:val="24"/>
          <w:szCs w:val="24"/>
          <w:lang w:eastAsia="cs-CZ"/>
        </w:rPr>
        <w:lastRenderedPageBreak/>
        <w:drawing>
          <wp:inline distT="0" distB="0" distL="0" distR="0">
            <wp:extent cx="5997575" cy="2985135"/>
            <wp:effectExtent l="0" t="0" r="0" b="0"/>
            <wp:docPr id="6"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7B03" w:rsidRPr="009F41B2" w:rsidRDefault="00F27B03" w:rsidP="009F41B2">
      <w:pPr>
        <w:spacing w:after="0" w:line="240" w:lineRule="auto"/>
        <w:ind w:firstLine="708"/>
        <w:rPr>
          <w:rFonts w:ascii="Times New Roman" w:hAnsi="Times New Roman"/>
          <w:sz w:val="24"/>
          <w:szCs w:val="24"/>
          <w:lang w:eastAsia="cs-CZ"/>
        </w:rPr>
      </w:pPr>
    </w:p>
    <w:p w:rsidR="00F27B03" w:rsidRPr="009F41B2" w:rsidRDefault="00F27B03" w:rsidP="009F41B2">
      <w:pPr>
        <w:spacing w:after="0" w:line="240" w:lineRule="auto"/>
        <w:ind w:firstLine="708"/>
        <w:rPr>
          <w:rFonts w:ascii="Times New Roman" w:hAnsi="Times New Roman"/>
          <w:sz w:val="24"/>
          <w:szCs w:val="24"/>
          <w:lang w:eastAsia="cs-CZ"/>
        </w:rPr>
      </w:pPr>
    </w:p>
    <w:p w:rsidR="00F27B03" w:rsidRPr="009F41B2" w:rsidRDefault="00F27B03" w:rsidP="009F41B2">
      <w:pPr>
        <w:spacing w:after="0"/>
        <w:ind w:firstLine="708"/>
        <w:rPr>
          <w:rFonts w:ascii="Times New Roman" w:hAnsi="Times New Roman"/>
          <w:sz w:val="24"/>
          <w:szCs w:val="24"/>
          <w:lang w:eastAsia="cs-CZ"/>
        </w:rPr>
      </w:pPr>
      <w:r w:rsidRPr="009F41B2">
        <w:rPr>
          <w:rFonts w:ascii="Times New Roman" w:hAnsi="Times New Roman"/>
          <w:sz w:val="24"/>
          <w:szCs w:val="24"/>
          <w:lang w:eastAsia="cs-CZ"/>
        </w:rPr>
        <w:t xml:space="preserve">U strukturálních fondů v programovém období 2004 – 2006 byly v roce 2014 na vnější úrovni nahlášeny za operační programy v gesci Ministerstva pro místní rozvoj </w:t>
      </w:r>
      <w:r w:rsidRPr="009F41B2">
        <w:rPr>
          <w:rFonts w:ascii="Times New Roman" w:hAnsi="Times New Roman"/>
          <w:b/>
          <w:sz w:val="24"/>
          <w:szCs w:val="24"/>
          <w:lang w:eastAsia="cs-CZ"/>
        </w:rPr>
        <w:t>4</w:t>
      </w:r>
      <w:r w:rsidRPr="009F41B2">
        <w:rPr>
          <w:rFonts w:ascii="Times New Roman" w:hAnsi="Times New Roman"/>
          <w:sz w:val="24"/>
          <w:szCs w:val="24"/>
          <w:lang w:eastAsia="cs-CZ"/>
        </w:rPr>
        <w:t xml:space="preserve"> případy nových nesrovnalostí ve výši dotčené částky </w:t>
      </w:r>
      <w:r w:rsidRPr="009F41B2">
        <w:rPr>
          <w:rFonts w:ascii="Times New Roman" w:hAnsi="Times New Roman"/>
          <w:b/>
          <w:sz w:val="24"/>
          <w:szCs w:val="24"/>
          <w:lang w:eastAsia="cs-CZ"/>
        </w:rPr>
        <w:t xml:space="preserve">12 141 </w:t>
      </w:r>
      <w:r w:rsidRPr="00183386">
        <w:rPr>
          <w:rFonts w:ascii="Times New Roman" w:hAnsi="Times New Roman"/>
          <w:b/>
          <w:sz w:val="24"/>
          <w:szCs w:val="24"/>
          <w:lang w:eastAsia="cs-CZ"/>
        </w:rPr>
        <w:t>067</w:t>
      </w:r>
      <w:r w:rsidRPr="00EB4440">
        <w:rPr>
          <w:rFonts w:ascii="Times New Roman" w:hAnsi="Times New Roman"/>
          <w:b/>
          <w:sz w:val="24"/>
          <w:szCs w:val="24"/>
          <w:lang w:eastAsia="cs-CZ"/>
        </w:rPr>
        <w:t xml:space="preserve"> EUR</w:t>
      </w:r>
      <w:r w:rsidRPr="009F41B2">
        <w:rPr>
          <w:rFonts w:ascii="Times New Roman" w:hAnsi="Times New Roman"/>
          <w:sz w:val="24"/>
          <w:szCs w:val="24"/>
          <w:lang w:eastAsia="cs-CZ"/>
        </w:rPr>
        <w:t>, v gesci Ministerstva průmyslu</w:t>
      </w:r>
      <w:r>
        <w:rPr>
          <w:rFonts w:ascii="Times New Roman" w:hAnsi="Times New Roman"/>
          <w:sz w:val="24"/>
          <w:szCs w:val="24"/>
          <w:lang w:eastAsia="cs-CZ"/>
        </w:rPr>
        <w:t> </w:t>
      </w:r>
      <w:r w:rsidRPr="009F41B2">
        <w:rPr>
          <w:rFonts w:ascii="Times New Roman" w:hAnsi="Times New Roman"/>
          <w:sz w:val="24"/>
          <w:szCs w:val="24"/>
          <w:lang w:eastAsia="cs-CZ"/>
        </w:rPr>
        <w:t xml:space="preserve">a obchodu </w:t>
      </w:r>
      <w:r w:rsidRPr="009F41B2">
        <w:rPr>
          <w:rFonts w:ascii="Times New Roman" w:hAnsi="Times New Roman"/>
          <w:b/>
          <w:sz w:val="24"/>
          <w:szCs w:val="24"/>
          <w:lang w:eastAsia="cs-CZ"/>
        </w:rPr>
        <w:t>3</w:t>
      </w:r>
      <w:r w:rsidRPr="009F41B2">
        <w:rPr>
          <w:rFonts w:ascii="Times New Roman" w:hAnsi="Times New Roman"/>
          <w:sz w:val="24"/>
          <w:szCs w:val="24"/>
          <w:lang w:eastAsia="cs-CZ"/>
        </w:rPr>
        <w:t xml:space="preserve"> případy nových nesrovnalostí ve výši dotčené částky </w:t>
      </w:r>
      <w:r w:rsidRPr="009F41B2">
        <w:rPr>
          <w:rFonts w:ascii="Times New Roman" w:hAnsi="Times New Roman"/>
          <w:b/>
          <w:sz w:val="24"/>
          <w:szCs w:val="24"/>
          <w:lang w:eastAsia="cs-CZ"/>
        </w:rPr>
        <w:t>1 326 912</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xml:space="preserve"> a</w:t>
      </w:r>
      <w:r>
        <w:rPr>
          <w:rFonts w:ascii="Times New Roman" w:hAnsi="Times New Roman"/>
          <w:sz w:val="24"/>
          <w:szCs w:val="24"/>
          <w:lang w:eastAsia="cs-CZ"/>
        </w:rPr>
        <w:t> </w:t>
      </w:r>
      <w:r w:rsidRPr="009F41B2">
        <w:rPr>
          <w:rFonts w:ascii="Times New Roman" w:hAnsi="Times New Roman"/>
          <w:sz w:val="24"/>
          <w:szCs w:val="24"/>
          <w:lang w:eastAsia="cs-CZ"/>
        </w:rPr>
        <w:t xml:space="preserve">v gesci Ministerstva pro životní prostředí rovněž </w:t>
      </w:r>
      <w:r w:rsidRPr="009F41B2">
        <w:rPr>
          <w:rFonts w:ascii="Times New Roman" w:hAnsi="Times New Roman"/>
          <w:b/>
          <w:sz w:val="24"/>
          <w:szCs w:val="24"/>
          <w:lang w:eastAsia="cs-CZ"/>
        </w:rPr>
        <w:t>3</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229 260</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w:t>
      </w:r>
      <w:r w:rsidRPr="009F41B2">
        <w:rPr>
          <w:rFonts w:ascii="Times New Roman" w:hAnsi="Times New Roman"/>
          <w:b/>
          <w:sz w:val="24"/>
          <w:szCs w:val="24"/>
          <w:lang w:eastAsia="cs-CZ"/>
        </w:rPr>
        <w:t xml:space="preserve"> </w:t>
      </w:r>
      <w:r w:rsidRPr="009F41B2">
        <w:rPr>
          <w:rFonts w:ascii="Times New Roman" w:hAnsi="Times New Roman"/>
          <w:sz w:val="24"/>
          <w:szCs w:val="24"/>
          <w:lang w:eastAsia="cs-CZ"/>
        </w:rPr>
        <w:t xml:space="preserve">V rámci Fondu soudržnosti zaslalo Ministerstvo pro místní rozvoj prostřednictvím Centrálního kontaktního bodu sítě AFCOS  úřadu OLAF jeden případ nesrovnalosti ve výši dotčené částky </w:t>
      </w:r>
      <w:r w:rsidRPr="009F41B2">
        <w:rPr>
          <w:rFonts w:ascii="Times New Roman" w:hAnsi="Times New Roman"/>
          <w:b/>
          <w:sz w:val="24"/>
          <w:szCs w:val="24"/>
          <w:lang w:eastAsia="cs-CZ"/>
        </w:rPr>
        <w:t>726 978</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xml:space="preserve">. </w:t>
      </w:r>
    </w:p>
    <w:p w:rsidR="00F27B03" w:rsidRPr="009F41B2" w:rsidRDefault="00F27B03" w:rsidP="009F41B2">
      <w:pPr>
        <w:spacing w:after="0" w:line="240" w:lineRule="auto"/>
        <w:ind w:left="357"/>
        <w:jc w:val="left"/>
        <w:rPr>
          <w:rFonts w:ascii="Times New Roman" w:hAnsi="Times New Roman"/>
          <w:sz w:val="24"/>
          <w:szCs w:val="24"/>
          <w:lang w:eastAsia="cs-CZ"/>
        </w:rPr>
      </w:pPr>
    </w:p>
    <w:p w:rsidR="00F27B03" w:rsidRPr="009F41B2" w:rsidRDefault="00F27B03" w:rsidP="009F41B2">
      <w:pPr>
        <w:spacing w:after="0"/>
        <w:jc w:val="left"/>
        <w:rPr>
          <w:rFonts w:ascii="Times New Roman" w:hAnsi="Times New Roman"/>
          <w:b/>
          <w:sz w:val="24"/>
          <w:szCs w:val="24"/>
          <w:lang w:eastAsia="cs-CZ"/>
        </w:rPr>
      </w:pPr>
    </w:p>
    <w:p w:rsidR="00F27B03" w:rsidRPr="009F41B2" w:rsidRDefault="00F27B03" w:rsidP="008D6625">
      <w:pPr>
        <w:rPr>
          <w:rFonts w:ascii="Times New Roman" w:hAnsi="Times New Roman"/>
          <w:b/>
          <w:sz w:val="24"/>
          <w:szCs w:val="24"/>
          <w:lang w:eastAsia="cs-CZ"/>
        </w:rPr>
      </w:pPr>
      <w:r w:rsidRPr="009F41B2">
        <w:rPr>
          <w:rFonts w:ascii="Times New Roman" w:hAnsi="Times New Roman"/>
          <w:b/>
          <w:sz w:val="24"/>
          <w:szCs w:val="24"/>
          <w:lang w:eastAsia="cs-CZ"/>
        </w:rPr>
        <w:t>Strukturální fondy, fondy společné zemědělské politiky a Evropský rybářský fond – programové období 2007 – 2013</w:t>
      </w:r>
    </w:p>
    <w:p w:rsidR="00F27B03" w:rsidRPr="009F41B2" w:rsidRDefault="00F27B03" w:rsidP="009F41B2">
      <w:pPr>
        <w:spacing w:after="0"/>
        <w:ind w:firstLine="708"/>
        <w:rPr>
          <w:rFonts w:ascii="Times New Roman" w:hAnsi="Times New Roman"/>
          <w:sz w:val="24"/>
          <w:szCs w:val="24"/>
          <w:lang w:eastAsia="cs-CZ"/>
        </w:rPr>
      </w:pPr>
      <w:r w:rsidRPr="009F41B2">
        <w:rPr>
          <w:rFonts w:ascii="Times New Roman" w:hAnsi="Times New Roman"/>
          <w:sz w:val="24"/>
          <w:szCs w:val="24"/>
          <w:lang w:eastAsia="cs-CZ"/>
        </w:rPr>
        <w:t xml:space="preserve">Za oblast strukturálních fondů, fondů společné zemědělské politiky a Evropského rybářského fondu (programové období 2007 – 2013) bylo za rok 2014 úřadu OLAF nahlášeno celkem </w:t>
      </w:r>
      <w:r w:rsidRPr="009F41B2">
        <w:rPr>
          <w:rFonts w:ascii="Times New Roman" w:hAnsi="Times New Roman"/>
          <w:b/>
          <w:sz w:val="24"/>
          <w:szCs w:val="24"/>
          <w:lang w:eastAsia="cs-CZ"/>
        </w:rPr>
        <w:t>1 063</w:t>
      </w:r>
      <w:r w:rsidRPr="009F41B2">
        <w:rPr>
          <w:rFonts w:ascii="Times New Roman" w:hAnsi="Times New Roman"/>
          <w:sz w:val="24"/>
          <w:szCs w:val="24"/>
          <w:lang w:eastAsia="cs-CZ"/>
        </w:rPr>
        <w:t> nových</w:t>
      </w:r>
      <w:r w:rsidRPr="009F41B2">
        <w:rPr>
          <w:rFonts w:ascii="Times New Roman" w:hAnsi="Times New Roman"/>
          <w:sz w:val="24"/>
          <w:szCs w:val="24"/>
          <w:vertAlign w:val="superscript"/>
          <w:lang w:eastAsia="cs-CZ"/>
        </w:rPr>
        <w:footnoteReference w:id="2"/>
      </w:r>
      <w:r w:rsidRPr="009F41B2">
        <w:rPr>
          <w:rFonts w:ascii="Times New Roman" w:hAnsi="Times New Roman"/>
          <w:sz w:val="24"/>
          <w:szCs w:val="24"/>
          <w:lang w:eastAsia="cs-CZ"/>
        </w:rPr>
        <w:t xml:space="preserve"> případů nesrovnalostí v celkové výši dotčené částky </w:t>
      </w:r>
      <w:r w:rsidRPr="009F41B2">
        <w:rPr>
          <w:rFonts w:ascii="Times New Roman" w:hAnsi="Times New Roman"/>
          <w:b/>
          <w:sz w:val="24"/>
          <w:szCs w:val="24"/>
          <w:lang w:eastAsia="cs-CZ"/>
        </w:rPr>
        <w:t>315 771 328</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xml:space="preserve">, z toho za fondy společné zemědělské politiky </w:t>
      </w:r>
      <w:r w:rsidRPr="009F41B2">
        <w:rPr>
          <w:rFonts w:ascii="Times New Roman" w:hAnsi="Times New Roman"/>
          <w:b/>
          <w:sz w:val="24"/>
          <w:szCs w:val="24"/>
          <w:lang w:eastAsia="cs-CZ"/>
        </w:rPr>
        <w:t>52</w:t>
      </w:r>
      <w:r w:rsidRPr="009F41B2">
        <w:rPr>
          <w:rFonts w:ascii="Times New Roman" w:hAnsi="Times New Roman"/>
          <w:sz w:val="24"/>
          <w:szCs w:val="24"/>
          <w:lang w:eastAsia="cs-CZ"/>
        </w:rPr>
        <w:t xml:space="preserve"> nových případů nesrovnalostí </w:t>
      </w:r>
      <w:r w:rsidRPr="009F41B2">
        <w:rPr>
          <w:rFonts w:ascii="Times New Roman" w:hAnsi="Times New Roman"/>
          <w:sz w:val="24"/>
          <w:szCs w:val="24"/>
          <w:lang w:eastAsia="cs-CZ"/>
        </w:rPr>
        <w:lastRenderedPageBreak/>
        <w:t>v</w:t>
      </w:r>
      <w:r>
        <w:rPr>
          <w:rFonts w:ascii="Times New Roman" w:hAnsi="Times New Roman"/>
          <w:sz w:val="24"/>
          <w:szCs w:val="24"/>
          <w:lang w:eastAsia="cs-CZ"/>
        </w:rPr>
        <w:t> </w:t>
      </w:r>
      <w:r w:rsidRPr="009F41B2">
        <w:rPr>
          <w:rFonts w:ascii="Times New Roman" w:hAnsi="Times New Roman"/>
          <w:sz w:val="24"/>
          <w:szCs w:val="24"/>
          <w:lang w:eastAsia="cs-CZ"/>
        </w:rPr>
        <w:t xml:space="preserve">celkové výši dotčené částky </w:t>
      </w:r>
      <w:r w:rsidRPr="009F41B2">
        <w:rPr>
          <w:rFonts w:ascii="Times New Roman" w:hAnsi="Times New Roman"/>
          <w:b/>
          <w:sz w:val="24"/>
          <w:szCs w:val="24"/>
          <w:lang w:eastAsia="cs-CZ"/>
        </w:rPr>
        <w:t>2 898 839</w:t>
      </w:r>
      <w:r w:rsidRPr="00EB4440">
        <w:rPr>
          <w:rFonts w:ascii="Times New Roman" w:hAnsi="Times New Roman"/>
          <w:b/>
          <w:sz w:val="24"/>
          <w:szCs w:val="24"/>
          <w:lang w:eastAsia="cs-CZ"/>
        </w:rPr>
        <w:t xml:space="preserve"> EUR</w:t>
      </w:r>
      <w:r w:rsidRPr="009F41B2">
        <w:rPr>
          <w:rFonts w:ascii="Times New Roman" w:hAnsi="Times New Roman"/>
          <w:sz w:val="24"/>
          <w:szCs w:val="24"/>
          <w:lang w:eastAsia="cs-CZ"/>
        </w:rPr>
        <w:t xml:space="preserve"> a Evropský rybářský fond dva nové případy nesrovnalosti v celkové výši dotčené částky </w:t>
      </w:r>
      <w:r w:rsidRPr="009F41B2">
        <w:rPr>
          <w:rFonts w:ascii="Times New Roman" w:hAnsi="Times New Roman"/>
          <w:b/>
          <w:sz w:val="24"/>
          <w:szCs w:val="24"/>
          <w:lang w:eastAsia="cs-CZ"/>
        </w:rPr>
        <w:t>11 744</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w:t>
      </w:r>
    </w:p>
    <w:p w:rsidR="00F27B03" w:rsidRPr="009F41B2" w:rsidRDefault="00F27B03" w:rsidP="009F41B2">
      <w:pPr>
        <w:spacing w:after="0"/>
        <w:ind w:firstLine="708"/>
        <w:rPr>
          <w:rFonts w:ascii="Times New Roman" w:hAnsi="Times New Roman"/>
          <w:sz w:val="24"/>
          <w:szCs w:val="24"/>
          <w:lang w:eastAsia="cs-CZ"/>
        </w:rPr>
      </w:pPr>
    </w:p>
    <w:p w:rsidR="00F27B03" w:rsidRDefault="008A6425" w:rsidP="009F41B2">
      <w:pPr>
        <w:spacing w:after="0" w:line="240" w:lineRule="auto"/>
        <w:jc w:val="center"/>
        <w:rPr>
          <w:rFonts w:ascii="Times New Roman" w:hAnsi="Times New Roman"/>
          <w:sz w:val="24"/>
          <w:szCs w:val="24"/>
          <w:lang w:eastAsia="cs-CZ"/>
        </w:rPr>
      </w:pPr>
      <w:r>
        <w:rPr>
          <w:rFonts w:ascii="Times New Roman" w:hAnsi="Times New Roman"/>
          <w:noProof/>
          <w:sz w:val="24"/>
          <w:szCs w:val="24"/>
          <w:lang w:eastAsia="cs-CZ"/>
        </w:rPr>
        <w:drawing>
          <wp:inline distT="0" distB="0" distL="0" distR="0">
            <wp:extent cx="6118225" cy="3644265"/>
            <wp:effectExtent l="0" t="0" r="0" b="0"/>
            <wp:docPr id="7"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7B03" w:rsidRPr="009F41B2" w:rsidRDefault="00F27B03" w:rsidP="009F41B2">
      <w:pPr>
        <w:spacing w:after="0" w:line="240" w:lineRule="auto"/>
        <w:jc w:val="center"/>
        <w:rPr>
          <w:rFonts w:ascii="Times New Roman" w:hAnsi="Times New Roman"/>
          <w:sz w:val="24"/>
          <w:szCs w:val="24"/>
          <w:lang w:eastAsia="cs-CZ"/>
        </w:rPr>
      </w:pPr>
    </w:p>
    <w:p w:rsidR="00F27B03" w:rsidRPr="009F41B2" w:rsidRDefault="008A6425" w:rsidP="009F41B2">
      <w:pPr>
        <w:spacing w:after="0" w:line="240" w:lineRule="auto"/>
        <w:jc w:val="center"/>
        <w:rPr>
          <w:rFonts w:ascii="Times New Roman" w:hAnsi="Times New Roman"/>
          <w:sz w:val="24"/>
          <w:szCs w:val="24"/>
          <w:lang w:eastAsia="cs-CZ"/>
        </w:rPr>
      </w:pPr>
      <w:r>
        <w:rPr>
          <w:rFonts w:ascii="Times New Roman" w:hAnsi="Times New Roman"/>
          <w:noProof/>
          <w:sz w:val="24"/>
          <w:szCs w:val="24"/>
          <w:lang w:eastAsia="cs-CZ"/>
        </w:rPr>
        <w:drawing>
          <wp:inline distT="0" distB="0" distL="0" distR="0">
            <wp:extent cx="6024245" cy="2837180"/>
            <wp:effectExtent l="0" t="0" r="0" b="0"/>
            <wp:docPr id="8"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7B03" w:rsidRPr="009F41B2" w:rsidRDefault="00F27B03" w:rsidP="009F41B2">
      <w:pPr>
        <w:spacing w:after="0" w:line="240" w:lineRule="auto"/>
        <w:jc w:val="left"/>
        <w:rPr>
          <w:rFonts w:ascii="Times New Roman" w:hAnsi="Times New Roman"/>
          <w:sz w:val="24"/>
          <w:szCs w:val="24"/>
          <w:lang w:eastAsia="cs-CZ"/>
        </w:rPr>
      </w:pPr>
    </w:p>
    <w:p w:rsidR="00F27B03" w:rsidRDefault="00F27B03" w:rsidP="008D6625">
      <w:pPr>
        <w:spacing w:after="0"/>
        <w:ind w:firstLine="708"/>
        <w:rPr>
          <w:rFonts w:ascii="Times New Roman" w:hAnsi="Times New Roman"/>
          <w:sz w:val="24"/>
          <w:szCs w:val="24"/>
          <w:lang w:eastAsia="cs-CZ"/>
        </w:rPr>
      </w:pPr>
    </w:p>
    <w:p w:rsidR="00F27B03" w:rsidRPr="009F41B2" w:rsidRDefault="00F27B03" w:rsidP="008D6625">
      <w:pPr>
        <w:spacing w:after="0"/>
        <w:ind w:firstLine="708"/>
        <w:rPr>
          <w:rFonts w:ascii="Times New Roman" w:hAnsi="Times New Roman"/>
          <w:sz w:val="24"/>
          <w:szCs w:val="24"/>
          <w:lang w:eastAsia="cs-CZ"/>
        </w:rPr>
      </w:pPr>
      <w:r w:rsidRPr="009F41B2">
        <w:rPr>
          <w:rFonts w:ascii="Times New Roman" w:hAnsi="Times New Roman"/>
          <w:sz w:val="24"/>
          <w:szCs w:val="24"/>
          <w:lang w:eastAsia="cs-CZ"/>
        </w:rPr>
        <w:t xml:space="preserve">V programovém období 2007 – 2013 bylo v roce 2014 nejvíce nesrovnalostí na vnější úrovni nahlášeno za operační programy v gesci Ministerstva školství, mládeže a tělovýchovy, </w:t>
      </w:r>
      <w:r w:rsidRPr="009F41B2">
        <w:rPr>
          <w:rFonts w:ascii="Times New Roman" w:hAnsi="Times New Roman"/>
          <w:sz w:val="24"/>
          <w:szCs w:val="24"/>
          <w:lang w:eastAsia="cs-CZ"/>
        </w:rPr>
        <w:lastRenderedPageBreak/>
        <w:t xml:space="preserve">a to </w:t>
      </w:r>
      <w:r w:rsidRPr="009F41B2">
        <w:rPr>
          <w:rFonts w:ascii="Times New Roman" w:hAnsi="Times New Roman"/>
          <w:b/>
          <w:sz w:val="24"/>
          <w:szCs w:val="24"/>
          <w:lang w:eastAsia="cs-CZ"/>
        </w:rPr>
        <w:t>387</w:t>
      </w:r>
      <w:r w:rsidRPr="009F41B2">
        <w:rPr>
          <w:rFonts w:ascii="Times New Roman" w:hAnsi="Times New Roman"/>
          <w:sz w:val="24"/>
          <w:szCs w:val="24"/>
          <w:lang w:eastAsia="cs-CZ"/>
        </w:rPr>
        <w:t xml:space="preserve"> případů nesrovnalostí ve výši dotčené částky </w:t>
      </w:r>
      <w:r w:rsidRPr="009F41B2">
        <w:rPr>
          <w:rFonts w:ascii="Times New Roman" w:hAnsi="Times New Roman"/>
          <w:b/>
          <w:sz w:val="24"/>
          <w:szCs w:val="24"/>
          <w:lang w:eastAsia="cs-CZ"/>
        </w:rPr>
        <w:t>67 218 954</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Dle počtu hlášení za operační programy v gesci jednotlivých subjektů následovalo pak Ministerstvo práce a</w:t>
      </w:r>
      <w:r>
        <w:rPr>
          <w:rFonts w:ascii="Times New Roman" w:hAnsi="Times New Roman"/>
          <w:sz w:val="24"/>
          <w:szCs w:val="24"/>
          <w:lang w:eastAsia="cs-CZ"/>
        </w:rPr>
        <w:t> </w:t>
      </w:r>
      <w:r w:rsidRPr="009F41B2">
        <w:rPr>
          <w:rFonts w:ascii="Times New Roman" w:hAnsi="Times New Roman"/>
          <w:sz w:val="24"/>
          <w:szCs w:val="24"/>
          <w:lang w:eastAsia="cs-CZ"/>
        </w:rPr>
        <w:t xml:space="preserve">sociálních věcí se </w:t>
      </w:r>
      <w:r w:rsidRPr="009F41B2">
        <w:rPr>
          <w:rFonts w:ascii="Times New Roman" w:hAnsi="Times New Roman"/>
          <w:b/>
          <w:sz w:val="24"/>
          <w:szCs w:val="24"/>
          <w:lang w:eastAsia="cs-CZ"/>
        </w:rPr>
        <w:t>106</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16 015 772</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Ministerstvo průmyslu a obchodu se </w:t>
      </w:r>
      <w:r w:rsidRPr="009F41B2">
        <w:rPr>
          <w:rFonts w:ascii="Times New Roman" w:hAnsi="Times New Roman"/>
          <w:b/>
          <w:sz w:val="24"/>
          <w:szCs w:val="24"/>
          <w:lang w:eastAsia="cs-CZ"/>
        </w:rPr>
        <w:t>101</w:t>
      </w:r>
      <w:r w:rsidRPr="009F41B2">
        <w:rPr>
          <w:rFonts w:ascii="Times New Roman" w:hAnsi="Times New Roman"/>
          <w:sz w:val="24"/>
          <w:szCs w:val="24"/>
          <w:lang w:eastAsia="cs-CZ"/>
        </w:rPr>
        <w:t xml:space="preserve"> případem nesrovnalostí ve výši dotčené částky </w:t>
      </w:r>
      <w:r w:rsidRPr="009F41B2">
        <w:rPr>
          <w:rFonts w:ascii="Times New Roman" w:hAnsi="Times New Roman"/>
          <w:b/>
          <w:sz w:val="24"/>
          <w:szCs w:val="24"/>
          <w:lang w:eastAsia="cs-CZ"/>
        </w:rPr>
        <w:t>62 343 109</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Ministerstvo životního prostředí se </w:t>
      </w:r>
      <w:r w:rsidRPr="009F41B2">
        <w:rPr>
          <w:rFonts w:ascii="Times New Roman" w:hAnsi="Times New Roman"/>
          <w:b/>
          <w:sz w:val="24"/>
          <w:szCs w:val="24"/>
          <w:lang w:eastAsia="cs-CZ"/>
        </w:rPr>
        <w:t>67</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15 122 410</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Regionální rada regionu soudržnosti Severovýchod se  </w:t>
      </w:r>
      <w:r w:rsidRPr="009F41B2">
        <w:rPr>
          <w:rFonts w:ascii="Times New Roman" w:hAnsi="Times New Roman"/>
          <w:b/>
          <w:sz w:val="24"/>
          <w:szCs w:val="24"/>
          <w:lang w:eastAsia="cs-CZ"/>
        </w:rPr>
        <w:t>63</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6 703 397</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xml:space="preserve">, Ministerstvo pro místní rozvoj se </w:t>
      </w:r>
      <w:r w:rsidRPr="009F41B2">
        <w:rPr>
          <w:rFonts w:ascii="Times New Roman" w:hAnsi="Times New Roman"/>
          <w:b/>
          <w:sz w:val="24"/>
          <w:szCs w:val="24"/>
          <w:lang w:eastAsia="cs-CZ"/>
        </w:rPr>
        <w:t>46</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16 926 175</w:t>
      </w:r>
      <w:r w:rsidRPr="009F41B2">
        <w:rPr>
          <w:rFonts w:ascii="Times New Roman" w:hAnsi="Times New Roman"/>
          <w:sz w:val="24"/>
          <w:szCs w:val="24"/>
          <w:lang w:eastAsia="cs-CZ"/>
        </w:rPr>
        <w:t xml:space="preserve"> </w:t>
      </w:r>
      <w:r>
        <w:rPr>
          <w:rFonts w:ascii="Times New Roman" w:hAnsi="Times New Roman"/>
          <w:b/>
          <w:sz w:val="24"/>
          <w:szCs w:val="24"/>
          <w:lang w:eastAsia="cs-CZ"/>
        </w:rPr>
        <w:t>EUR</w:t>
      </w:r>
      <w:r w:rsidRPr="009F41B2">
        <w:rPr>
          <w:rFonts w:ascii="Times New Roman" w:hAnsi="Times New Roman"/>
          <w:sz w:val="24"/>
          <w:szCs w:val="24"/>
          <w:lang w:eastAsia="cs-CZ"/>
        </w:rPr>
        <w:t>, Regionální rada regionu soudržnosti Střední Morava se </w:t>
      </w:r>
      <w:r w:rsidRPr="009F41B2">
        <w:rPr>
          <w:rFonts w:ascii="Times New Roman" w:hAnsi="Times New Roman"/>
          <w:b/>
          <w:sz w:val="24"/>
          <w:szCs w:val="24"/>
          <w:lang w:eastAsia="cs-CZ"/>
        </w:rPr>
        <w:t>42</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5 505 336</w:t>
      </w:r>
      <w:r w:rsidRPr="009F41B2">
        <w:rPr>
          <w:rFonts w:ascii="Times New Roman" w:hAnsi="Times New Roman"/>
          <w:sz w:val="24"/>
          <w:szCs w:val="24"/>
          <w:lang w:eastAsia="cs-CZ"/>
        </w:rPr>
        <w:t xml:space="preserve"> </w:t>
      </w:r>
      <w:r w:rsidRPr="00EB4440">
        <w:rPr>
          <w:rFonts w:ascii="Times New Roman" w:hAnsi="Times New Roman"/>
          <w:b/>
          <w:sz w:val="24"/>
          <w:szCs w:val="24"/>
          <w:lang w:eastAsia="cs-CZ"/>
        </w:rPr>
        <w:t>EUR</w:t>
      </w:r>
      <w:r w:rsidRPr="009F41B2">
        <w:rPr>
          <w:rFonts w:ascii="Times New Roman" w:hAnsi="Times New Roman"/>
          <w:sz w:val="24"/>
          <w:szCs w:val="24"/>
          <w:lang w:eastAsia="cs-CZ"/>
        </w:rPr>
        <w:t>, Regionální rada regionu soudržnosti Jihovýchod s </w:t>
      </w:r>
      <w:r w:rsidRPr="009F41B2">
        <w:rPr>
          <w:rFonts w:ascii="Times New Roman" w:hAnsi="Times New Roman"/>
          <w:b/>
          <w:sz w:val="24"/>
          <w:szCs w:val="24"/>
          <w:lang w:eastAsia="cs-CZ"/>
        </w:rPr>
        <w:t>41</w:t>
      </w:r>
      <w:r w:rsidRPr="009F41B2">
        <w:rPr>
          <w:rFonts w:ascii="Times New Roman" w:hAnsi="Times New Roman"/>
          <w:sz w:val="24"/>
          <w:szCs w:val="24"/>
          <w:lang w:eastAsia="cs-CZ"/>
        </w:rPr>
        <w:t xml:space="preserve"> případem nesrovnalostí ve výši dotčené částky </w:t>
      </w:r>
      <w:r w:rsidRPr="009F41B2">
        <w:rPr>
          <w:rFonts w:ascii="Times New Roman" w:hAnsi="Times New Roman"/>
          <w:b/>
          <w:sz w:val="24"/>
          <w:szCs w:val="24"/>
          <w:lang w:eastAsia="cs-CZ"/>
        </w:rPr>
        <w:t>8 411 422</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Pr>
          <w:rFonts w:ascii="Times New Roman" w:hAnsi="Times New Roman"/>
          <w:sz w:val="24"/>
          <w:szCs w:val="24"/>
          <w:lang w:eastAsia="cs-CZ"/>
        </w:rPr>
        <w:t>, Magistrát hlavního města Prahy se </w:t>
      </w:r>
      <w:r w:rsidRPr="009F41B2">
        <w:rPr>
          <w:rFonts w:ascii="Times New Roman" w:hAnsi="Times New Roman"/>
          <w:b/>
          <w:sz w:val="24"/>
          <w:szCs w:val="24"/>
          <w:lang w:eastAsia="cs-CZ"/>
        </w:rPr>
        <w:t>38</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2 752 395</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Pr>
          <w:rFonts w:ascii="Times New Roman" w:hAnsi="Times New Roman"/>
          <w:sz w:val="24"/>
          <w:szCs w:val="24"/>
          <w:lang w:eastAsia="cs-CZ"/>
        </w:rPr>
        <w:t>, Regionální rada regionu soudržnosti Střední Čechy s </w:t>
      </w:r>
      <w:r w:rsidRPr="009F41B2">
        <w:rPr>
          <w:rFonts w:ascii="Times New Roman" w:hAnsi="Times New Roman"/>
          <w:b/>
          <w:sz w:val="24"/>
          <w:szCs w:val="24"/>
          <w:lang w:eastAsia="cs-CZ"/>
        </w:rPr>
        <w:t>36</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38 443 531</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Pr>
          <w:rFonts w:ascii="Times New Roman" w:hAnsi="Times New Roman"/>
          <w:sz w:val="24"/>
          <w:szCs w:val="24"/>
          <w:lang w:eastAsia="cs-CZ"/>
        </w:rPr>
        <w:t>, Regionální rada regionu soudržnosti Jihozápad s </w:t>
      </w:r>
      <w:r w:rsidRPr="009F41B2">
        <w:rPr>
          <w:rFonts w:ascii="Times New Roman" w:hAnsi="Times New Roman"/>
          <w:b/>
          <w:sz w:val="24"/>
          <w:szCs w:val="24"/>
          <w:lang w:eastAsia="cs-CZ"/>
        </w:rPr>
        <w:t>33</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32 110 060</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Pr>
          <w:rFonts w:ascii="Times New Roman" w:hAnsi="Times New Roman"/>
          <w:sz w:val="24"/>
          <w:szCs w:val="24"/>
          <w:lang w:eastAsia="cs-CZ"/>
        </w:rPr>
        <w:t>, dále pak Regionální rada regionu soudržnosti Severozápad respektive Regionální rada regionu soudržnosti Moravskoslezsko s </w:t>
      </w:r>
      <w:r w:rsidRPr="009F41B2">
        <w:rPr>
          <w:rFonts w:ascii="Times New Roman" w:hAnsi="Times New Roman"/>
          <w:b/>
          <w:sz w:val="24"/>
          <w:szCs w:val="24"/>
          <w:lang w:eastAsia="cs-CZ"/>
        </w:rPr>
        <w:t>23</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33 034 393</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Pr>
          <w:rFonts w:ascii="Times New Roman" w:hAnsi="Times New Roman"/>
          <w:sz w:val="24"/>
          <w:szCs w:val="24"/>
          <w:lang w:eastAsia="cs-CZ"/>
        </w:rPr>
        <w:t xml:space="preserve"> respektive </w:t>
      </w:r>
      <w:r w:rsidRPr="009F41B2">
        <w:rPr>
          <w:rFonts w:ascii="Times New Roman" w:hAnsi="Times New Roman"/>
          <w:b/>
          <w:sz w:val="24"/>
          <w:szCs w:val="24"/>
          <w:lang w:eastAsia="cs-CZ"/>
        </w:rPr>
        <w:t>8 192 766</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sidDel="005E6FB9">
        <w:rPr>
          <w:rFonts w:ascii="Times New Roman" w:hAnsi="Times New Roman"/>
          <w:sz w:val="24"/>
          <w:szCs w:val="24"/>
          <w:lang w:eastAsia="cs-CZ"/>
        </w:rPr>
        <w:t xml:space="preserve"> </w:t>
      </w:r>
      <w:r w:rsidRPr="009F41B2">
        <w:rPr>
          <w:rFonts w:ascii="Times New Roman" w:hAnsi="Times New Roman"/>
          <w:sz w:val="24"/>
          <w:szCs w:val="24"/>
          <w:lang w:eastAsia="cs-CZ"/>
        </w:rPr>
        <w:t xml:space="preserve">a Ministerstvo dopravy se </w:t>
      </w:r>
      <w:r w:rsidRPr="009F41B2">
        <w:rPr>
          <w:rFonts w:ascii="Times New Roman" w:hAnsi="Times New Roman"/>
          <w:b/>
          <w:sz w:val="24"/>
          <w:szCs w:val="24"/>
          <w:lang w:eastAsia="cs-CZ"/>
        </w:rPr>
        <w:t>3</w:t>
      </w:r>
      <w:r w:rsidRPr="009F41B2">
        <w:rPr>
          <w:rFonts w:ascii="Times New Roman" w:hAnsi="Times New Roman"/>
          <w:sz w:val="24"/>
          <w:szCs w:val="24"/>
          <w:lang w:eastAsia="cs-CZ"/>
        </w:rPr>
        <w:t xml:space="preserve"> případy nesrovnalostí ve výši dotčené částky </w:t>
      </w:r>
      <w:r w:rsidRPr="009F41B2">
        <w:rPr>
          <w:rFonts w:ascii="Times New Roman" w:hAnsi="Times New Roman"/>
          <w:b/>
          <w:sz w:val="24"/>
          <w:szCs w:val="24"/>
          <w:lang w:eastAsia="cs-CZ"/>
        </w:rPr>
        <w:t>81 025</w:t>
      </w:r>
      <w:r w:rsidRPr="009F41B2">
        <w:rPr>
          <w:rFonts w:ascii="Times New Roman" w:hAnsi="Times New Roman"/>
          <w:sz w:val="24"/>
          <w:szCs w:val="24"/>
          <w:lang w:eastAsia="cs-CZ"/>
        </w:rPr>
        <w:t xml:space="preserve"> </w:t>
      </w:r>
      <w:r w:rsidRPr="001678E8">
        <w:rPr>
          <w:rFonts w:ascii="Times New Roman" w:hAnsi="Times New Roman"/>
          <w:b/>
          <w:sz w:val="24"/>
          <w:szCs w:val="24"/>
          <w:lang w:eastAsia="cs-CZ"/>
        </w:rPr>
        <w:t>EUR</w:t>
      </w:r>
      <w:r w:rsidRPr="009F41B2">
        <w:rPr>
          <w:rFonts w:ascii="Times New Roman" w:hAnsi="Times New Roman"/>
          <w:sz w:val="24"/>
          <w:szCs w:val="24"/>
          <w:lang w:eastAsia="cs-CZ"/>
        </w:rPr>
        <w:t xml:space="preserve">.  </w:t>
      </w:r>
    </w:p>
    <w:p w:rsidR="00F27B03" w:rsidRPr="009F41B2" w:rsidRDefault="00F27B03" w:rsidP="009F41B2">
      <w:pPr>
        <w:spacing w:after="0"/>
        <w:ind w:firstLine="708"/>
        <w:rPr>
          <w:rFonts w:ascii="Times New Roman" w:hAnsi="Times New Roman"/>
          <w:sz w:val="24"/>
          <w:szCs w:val="24"/>
          <w:lang w:eastAsia="cs-CZ"/>
        </w:rPr>
      </w:pPr>
      <w:r w:rsidRPr="009F41B2">
        <w:rPr>
          <w:rFonts w:ascii="Times New Roman" w:hAnsi="Times New Roman"/>
          <w:sz w:val="24"/>
          <w:szCs w:val="24"/>
          <w:lang w:eastAsia="cs-CZ"/>
        </w:rPr>
        <w:t>Nesrovnalosti zahrnuté do přehledů za rok 2014 jak v rámci programového období 2004 – 2006, tak programového období 2007 – 2013 byly ke konci roku stále otevřené. K dosažení jejich vyřešení byly jednotlivé případy předány orgánům zodpov</w:t>
      </w:r>
      <w:r w:rsidRPr="009F41B2">
        <w:rPr>
          <w:rFonts w:ascii="TimesNewRoman" w:eastAsia="Times New Roman" w:hAnsi="Times New Roman" w:cs="TimesNewRoman"/>
          <w:sz w:val="24"/>
          <w:szCs w:val="24"/>
          <w:lang w:eastAsia="cs-CZ"/>
        </w:rPr>
        <w:t>ě</w:t>
      </w:r>
      <w:r w:rsidRPr="009F41B2">
        <w:rPr>
          <w:rFonts w:ascii="Times New Roman" w:hAnsi="Times New Roman"/>
          <w:sz w:val="24"/>
          <w:szCs w:val="24"/>
          <w:lang w:eastAsia="cs-CZ"/>
        </w:rPr>
        <w:t>dným za následné administrativní nebo soudní postupy.</w:t>
      </w:r>
    </w:p>
    <w:p w:rsidR="00F27B03" w:rsidRPr="009F41B2" w:rsidRDefault="00F27B03" w:rsidP="009F41B2">
      <w:pPr>
        <w:spacing w:after="0"/>
        <w:ind w:firstLine="709"/>
        <w:rPr>
          <w:rFonts w:ascii="Times New Roman" w:hAnsi="Times New Roman"/>
          <w:sz w:val="24"/>
          <w:szCs w:val="24"/>
          <w:lang w:eastAsia="cs-CZ"/>
        </w:rPr>
      </w:pPr>
      <w:r w:rsidRPr="009F41B2">
        <w:rPr>
          <w:rFonts w:ascii="Times New Roman" w:hAnsi="Times New Roman"/>
          <w:sz w:val="24"/>
          <w:szCs w:val="24"/>
          <w:lang w:eastAsia="cs-CZ"/>
        </w:rPr>
        <w:t xml:space="preserve"> </w:t>
      </w:r>
    </w:p>
    <w:p w:rsidR="00F27B03" w:rsidRDefault="00F27B03" w:rsidP="00427314">
      <w:pPr>
        <w:tabs>
          <w:tab w:val="left" w:pos="567"/>
        </w:tabs>
        <w:spacing w:line="480" w:lineRule="auto"/>
        <w:ind w:left="720" w:hanging="720"/>
        <w:rPr>
          <w:rFonts w:ascii="Times New Roman" w:hAnsi="Times New Roman"/>
          <w:b/>
          <w:sz w:val="24"/>
          <w:szCs w:val="24"/>
        </w:rPr>
      </w:pPr>
    </w:p>
    <w:p w:rsidR="00F27B03" w:rsidRDefault="00F27B03" w:rsidP="00427314">
      <w:pPr>
        <w:tabs>
          <w:tab w:val="left" w:pos="567"/>
        </w:tabs>
        <w:spacing w:line="480" w:lineRule="auto"/>
        <w:ind w:left="720" w:hanging="720"/>
        <w:rPr>
          <w:rFonts w:ascii="Times New Roman" w:hAnsi="Times New Roman"/>
          <w:b/>
          <w:sz w:val="28"/>
          <w:szCs w:val="28"/>
        </w:rPr>
      </w:pPr>
    </w:p>
    <w:p w:rsidR="00F27B03" w:rsidRDefault="00F27B03" w:rsidP="00427314">
      <w:pPr>
        <w:tabs>
          <w:tab w:val="left" w:pos="567"/>
        </w:tabs>
        <w:spacing w:line="480" w:lineRule="auto"/>
        <w:ind w:left="720" w:hanging="720"/>
        <w:rPr>
          <w:rFonts w:ascii="Times New Roman" w:hAnsi="Times New Roman"/>
          <w:b/>
          <w:sz w:val="28"/>
          <w:szCs w:val="28"/>
        </w:rPr>
      </w:pPr>
    </w:p>
    <w:p w:rsidR="00F27B03" w:rsidRDefault="00F27B03" w:rsidP="00427314">
      <w:pPr>
        <w:tabs>
          <w:tab w:val="left" w:pos="567"/>
        </w:tabs>
        <w:spacing w:line="480" w:lineRule="auto"/>
        <w:ind w:left="720" w:hanging="720"/>
        <w:rPr>
          <w:rFonts w:ascii="Times New Roman" w:hAnsi="Times New Roman"/>
          <w:b/>
          <w:sz w:val="28"/>
          <w:szCs w:val="28"/>
        </w:rPr>
      </w:pPr>
    </w:p>
    <w:p w:rsidR="00F27B03" w:rsidRDefault="00F27B03" w:rsidP="00427314">
      <w:pPr>
        <w:tabs>
          <w:tab w:val="left" w:pos="567"/>
        </w:tabs>
        <w:spacing w:line="480" w:lineRule="auto"/>
        <w:ind w:left="720" w:hanging="720"/>
        <w:rPr>
          <w:rFonts w:ascii="Times New Roman" w:hAnsi="Times New Roman"/>
          <w:b/>
          <w:sz w:val="28"/>
          <w:szCs w:val="28"/>
        </w:rPr>
      </w:pPr>
    </w:p>
    <w:p w:rsidR="00F27B03" w:rsidRDefault="00F27B03" w:rsidP="00427314">
      <w:pPr>
        <w:tabs>
          <w:tab w:val="left" w:pos="567"/>
        </w:tabs>
        <w:spacing w:line="480" w:lineRule="auto"/>
        <w:ind w:left="720" w:hanging="720"/>
        <w:rPr>
          <w:rFonts w:ascii="Times New Roman" w:hAnsi="Times New Roman"/>
          <w:b/>
          <w:sz w:val="28"/>
          <w:szCs w:val="28"/>
        </w:rPr>
      </w:pPr>
    </w:p>
    <w:p w:rsidR="00F27B03" w:rsidRDefault="00F27B03" w:rsidP="00F863FC">
      <w:pPr>
        <w:rPr>
          <w:rFonts w:ascii="Times New Roman" w:hAnsi="Times New Roman"/>
          <w:b/>
          <w:sz w:val="28"/>
          <w:szCs w:val="28"/>
        </w:rPr>
      </w:pPr>
      <w:r w:rsidRPr="009761CF">
        <w:rPr>
          <w:rFonts w:ascii="Times New Roman" w:hAnsi="Times New Roman"/>
          <w:b/>
          <w:sz w:val="28"/>
          <w:szCs w:val="28"/>
        </w:rPr>
        <w:lastRenderedPageBreak/>
        <w:t>Příloha č. 4</w:t>
      </w:r>
      <w:r>
        <w:rPr>
          <w:rFonts w:ascii="Times New Roman" w:hAnsi="Times New Roman"/>
          <w:b/>
          <w:sz w:val="28"/>
          <w:szCs w:val="28"/>
        </w:rPr>
        <w:t xml:space="preserve"> </w:t>
      </w:r>
    </w:p>
    <w:p w:rsidR="00F27B03" w:rsidRPr="009761CF" w:rsidRDefault="00F27B03" w:rsidP="00F863FC">
      <w:pPr>
        <w:rPr>
          <w:rFonts w:ascii="Times New Roman" w:hAnsi="Times New Roman"/>
          <w:b/>
          <w:sz w:val="28"/>
          <w:szCs w:val="28"/>
        </w:rPr>
      </w:pPr>
      <w:r w:rsidRPr="009761CF">
        <w:rPr>
          <w:rFonts w:ascii="Times New Roman" w:hAnsi="Times New Roman"/>
          <w:b/>
          <w:sz w:val="28"/>
          <w:szCs w:val="28"/>
        </w:rPr>
        <w:t>Přehled výročních kontrolních zpráv za rok 2014 postoupených Auditním orgánem ČR Evropské komisi, za jednotlivé operační programy, se stanoviskem o funkčnosti řídících a kontrolních systémů</w:t>
      </w:r>
    </w:p>
    <w:p w:rsidR="00F27B03" w:rsidRDefault="00F27B03" w:rsidP="00F863FC">
      <w:pPr>
        <w:rPr>
          <w:rFonts w:ascii="Times New Roman" w:hAnsi="Times New Roman"/>
          <w:b/>
          <w:sz w:val="24"/>
          <w:szCs w:val="24"/>
          <w:lang w:eastAsia="cs-CZ"/>
        </w:rPr>
      </w:pPr>
    </w:p>
    <w:p w:rsidR="00F27B03" w:rsidRPr="006F67E8" w:rsidRDefault="00F27B03" w:rsidP="00F863FC">
      <w:pPr>
        <w:rPr>
          <w:rFonts w:ascii="Times New Roman" w:hAnsi="Times New Roman"/>
          <w:b/>
          <w:sz w:val="24"/>
          <w:szCs w:val="24"/>
          <w:lang w:eastAsia="cs-CZ"/>
        </w:rPr>
      </w:pPr>
      <w:r w:rsidRPr="006F67E8">
        <w:rPr>
          <w:rFonts w:ascii="Times New Roman" w:hAnsi="Times New Roman"/>
          <w:b/>
          <w:sz w:val="24"/>
          <w:szCs w:val="24"/>
          <w:lang w:eastAsia="cs-CZ"/>
        </w:rPr>
        <w:t>Operační p</w:t>
      </w:r>
      <w:r>
        <w:rPr>
          <w:rFonts w:ascii="Times New Roman" w:hAnsi="Times New Roman"/>
          <w:b/>
          <w:sz w:val="24"/>
          <w:szCs w:val="24"/>
          <w:lang w:eastAsia="cs-CZ"/>
        </w:rPr>
        <w:t>rogram Technická pomoc („OPTP“)</w:t>
      </w:r>
    </w:p>
    <w:p w:rsidR="00F27B03" w:rsidRPr="006F67E8" w:rsidRDefault="00F27B03" w:rsidP="00F863FC">
      <w:pPr>
        <w:ind w:firstLine="708"/>
        <w:rPr>
          <w:rFonts w:ascii="Times New Roman" w:hAnsi="Times New Roman"/>
          <w:sz w:val="24"/>
          <w:szCs w:val="24"/>
          <w:lang w:eastAsia="cs-CZ"/>
        </w:rPr>
      </w:pPr>
      <w:r w:rsidRPr="006F67E8">
        <w:rPr>
          <w:rFonts w:ascii="Times New Roman" w:hAnsi="Times New Roman"/>
          <w:sz w:val="24"/>
          <w:szCs w:val="24"/>
          <w:lang w:eastAsia="cs-CZ"/>
        </w:rPr>
        <w:t>Stanovisko bez výhrad bylo vydáno pro rok 2014 pro Operační program Technická pomoc. Na základě vykonaných auditů lze konstatovat, že řídící a kontrolní systém Operačního programu Technická pomoc je funkční (klasifikováno kategorií 1). Všechna zjištění z auditů operací jsou řešena v rámci procesu hlášení nesrovnalostí. Na základě výsledků auditů operací za rok 2014 byla stanovena projektovaná chybovost ve výši 0,02%.</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roce 2014 proběhla revize programového dokumentu, při níž došlo k rozšíření okruhu příjemců ve všech oblastech podpory</w:t>
      </w:r>
      <w:r w:rsidRPr="006F67E8">
        <w:rPr>
          <w:rFonts w:ascii="Times New Roman" w:hAnsi="Times New Roman" w:cs="Arial"/>
          <w:sz w:val="24"/>
          <w:szCs w:val="24"/>
          <w:lang w:eastAsia="cs-CZ"/>
        </w:rPr>
        <w:t xml:space="preserve"> o Odbor projektového řízení</w:t>
      </w:r>
      <w:r w:rsidRPr="006F67E8">
        <w:rPr>
          <w:rFonts w:ascii="Times New Roman" w:hAnsi="Times New Roman"/>
          <w:sz w:val="24"/>
          <w:szCs w:val="24"/>
          <w:lang w:eastAsia="cs-CZ"/>
        </w:rPr>
        <w:t>. Dále k 6. 1. 2014 byla vyhlášena 2. Výzva na podporu vzniku integrovaných strategií pro Integrované územní investice (ITI) a projektů na podporu vzniku integrovaných strategií pro Integrované plány rozvoje území (IPRÚ) a komunitně vedených strategií místního rozvoje pro územní Místní akční skupiny (MAS) po období 2014-2020 a nastavení a zajištění mechanizmů implementace strategií tak, aby v daném území došlo k dalšímu kvalitativnímu rozvoji a pozitivní změně. 2. Výzva zahrnuje pouze oblast podpory 3.2. V rámci této 2. Výzvy se realizuj</w:t>
      </w:r>
      <w:r>
        <w:rPr>
          <w:rFonts w:ascii="Times New Roman" w:hAnsi="Times New Roman"/>
          <w:sz w:val="24"/>
          <w:szCs w:val="24"/>
          <w:lang w:eastAsia="cs-CZ"/>
        </w:rPr>
        <w:t>e</w:t>
      </w:r>
      <w:r w:rsidRPr="006F67E8">
        <w:rPr>
          <w:rFonts w:ascii="Times New Roman" w:hAnsi="Times New Roman"/>
          <w:sz w:val="24"/>
          <w:szCs w:val="24"/>
          <w:lang w:eastAsia="cs-CZ"/>
        </w:rPr>
        <w:t xml:space="preserve"> cca 180 projektů. </w:t>
      </w:r>
    </w:p>
    <w:p w:rsidR="00F27B03" w:rsidRDefault="00F27B03" w:rsidP="00F863FC">
      <w:pPr>
        <w:rPr>
          <w:rFonts w:ascii="Times New Roman" w:hAnsi="Times New Roman" w:cs="Arial"/>
          <w:sz w:val="24"/>
          <w:szCs w:val="24"/>
          <w:lang w:eastAsia="cs-CZ"/>
        </w:rPr>
      </w:pPr>
      <w:r w:rsidRPr="006F67E8">
        <w:rPr>
          <w:rFonts w:ascii="Times New Roman" w:hAnsi="Times New Roman" w:cs="Arial"/>
          <w:sz w:val="24"/>
          <w:szCs w:val="24"/>
          <w:lang w:eastAsia="cs-CZ"/>
        </w:rPr>
        <w:t>Na základě aktualizovaného krizového plánu byla jeho klíčová opatření OPTP zaměřena na zvýšení absorpční kapacity a zrychlení administrativních procesů v rámci implementační struktury. Mezi hlavní realizovaná opatření krizového plánu lze zařadit zejména realizaci projektů nositelů integrovaných strategií, revizi programového dokumentu, při níž došlo k</w:t>
      </w:r>
      <w:r>
        <w:rPr>
          <w:rFonts w:ascii="Times New Roman" w:hAnsi="Times New Roman" w:cs="Arial"/>
          <w:sz w:val="24"/>
          <w:szCs w:val="24"/>
          <w:lang w:eastAsia="cs-CZ"/>
        </w:rPr>
        <w:t> </w:t>
      </w:r>
      <w:r w:rsidRPr="006F67E8">
        <w:rPr>
          <w:rFonts w:ascii="Times New Roman" w:hAnsi="Times New Roman" w:cs="Arial"/>
          <w:sz w:val="24"/>
          <w:szCs w:val="24"/>
          <w:lang w:eastAsia="cs-CZ"/>
        </w:rPr>
        <w:t>rozšíření okruhu příjemců ve všech oblastech podpory o Odbor projektového řízení. I přes plnění těchto opatření se nepodařilo zabránit nevyčerpání</w:t>
      </w:r>
      <w:r>
        <w:rPr>
          <w:rFonts w:ascii="Times New Roman" w:hAnsi="Times New Roman" w:cs="Arial"/>
          <w:sz w:val="24"/>
          <w:szCs w:val="24"/>
          <w:lang w:eastAsia="cs-CZ"/>
        </w:rPr>
        <w:t xml:space="preserve"> prostředků na konci roku 2014.</w:t>
      </w:r>
    </w:p>
    <w:p w:rsidR="00F27B03" w:rsidRPr="006F67E8" w:rsidRDefault="00F27B03" w:rsidP="00F863FC">
      <w:pPr>
        <w:rPr>
          <w:rFonts w:ascii="Times New Roman" w:hAnsi="Times New Roman" w:cs="Arial"/>
          <w:sz w:val="24"/>
          <w:szCs w:val="24"/>
          <w:lang w:eastAsia="cs-CZ"/>
        </w:rPr>
      </w:pPr>
    </w:p>
    <w:p w:rsidR="00F27B03" w:rsidRPr="006F67E8" w:rsidRDefault="00F27B03" w:rsidP="00F863FC">
      <w:pPr>
        <w:autoSpaceDE w:val="0"/>
        <w:autoSpaceDN w:val="0"/>
        <w:adjustRightInd w:val="0"/>
        <w:outlineLvl w:val="0"/>
        <w:rPr>
          <w:rFonts w:ascii="Times New Roman" w:hAnsi="Times New Roman"/>
          <w:b/>
          <w:sz w:val="24"/>
          <w:szCs w:val="24"/>
          <w:lang w:eastAsia="cs-CZ"/>
        </w:rPr>
      </w:pPr>
      <w:r w:rsidRPr="006F67E8">
        <w:rPr>
          <w:rFonts w:ascii="Times New Roman" w:hAnsi="Times New Roman"/>
          <w:b/>
          <w:sz w:val="24"/>
          <w:szCs w:val="24"/>
          <w:lang w:eastAsia="cs-CZ"/>
        </w:rPr>
        <w:t>Operační program</w:t>
      </w:r>
      <w:r>
        <w:rPr>
          <w:rFonts w:ascii="Times New Roman" w:hAnsi="Times New Roman"/>
          <w:b/>
          <w:sz w:val="24"/>
          <w:szCs w:val="24"/>
          <w:lang w:eastAsia="cs-CZ"/>
        </w:rPr>
        <w:t xml:space="preserve"> Podnikání a inovace („OPPI“): </w:t>
      </w:r>
    </w:p>
    <w:p w:rsidR="00F27B03" w:rsidRPr="006F67E8" w:rsidRDefault="00F27B03" w:rsidP="00F863FC">
      <w:pPr>
        <w:ind w:firstLine="708"/>
        <w:rPr>
          <w:rFonts w:ascii="Times New Roman" w:hAnsi="Times New Roman"/>
          <w:sz w:val="24"/>
          <w:szCs w:val="24"/>
          <w:lang w:eastAsia="cs-CZ"/>
        </w:rPr>
      </w:pPr>
      <w:r w:rsidRPr="006F67E8">
        <w:rPr>
          <w:rFonts w:ascii="Times New Roman" w:hAnsi="Times New Roman"/>
          <w:sz w:val="24"/>
          <w:szCs w:val="24"/>
          <w:lang w:eastAsia="cs-CZ"/>
        </w:rPr>
        <w:tab/>
        <w:t xml:space="preserve">Na základě přezkoumání fungování řídících a kontrolních systémů bylo pro OPPI v rámci Výroční kontrolní zprávy za rok 2014 vydáno stanovisko s výhradou. Podle tohoto výročního stanoviska byly řídící a kontrolní systémy zřízené pro účely programu OPPI </w:t>
      </w:r>
      <w:r w:rsidRPr="006F67E8">
        <w:rPr>
          <w:rFonts w:ascii="Times New Roman" w:hAnsi="Times New Roman"/>
          <w:sz w:val="24"/>
          <w:szCs w:val="24"/>
          <w:lang w:eastAsia="cs-CZ"/>
        </w:rPr>
        <w:lastRenderedPageBreak/>
        <w:t xml:space="preserve">v souladu s platnými požadavky článků 58 až 62 nařízení Rady (ES) č. 1083/2006 a fungovaly účinně a poskytly tak přiměřenou jistotu, že výkazy výdajů předložené Komisi byly správné, a tudíž </w:t>
      </w:r>
      <w:r>
        <w:rPr>
          <w:rFonts w:ascii="Times New Roman" w:hAnsi="Times New Roman"/>
          <w:sz w:val="24"/>
          <w:szCs w:val="24"/>
          <w:lang w:eastAsia="cs-CZ"/>
        </w:rPr>
        <w:t xml:space="preserve">s </w:t>
      </w:r>
      <w:r w:rsidRPr="006F67E8">
        <w:rPr>
          <w:rFonts w:ascii="Times New Roman" w:hAnsi="Times New Roman"/>
          <w:sz w:val="24"/>
          <w:szCs w:val="24"/>
          <w:lang w:eastAsia="cs-CZ"/>
        </w:rPr>
        <w:t>přiměřenou jistot</w:t>
      </w:r>
      <w:r>
        <w:rPr>
          <w:rFonts w:ascii="Times New Roman" w:hAnsi="Times New Roman"/>
          <w:sz w:val="24"/>
          <w:szCs w:val="24"/>
          <w:lang w:eastAsia="cs-CZ"/>
        </w:rPr>
        <w:t>o</w:t>
      </w:r>
      <w:r w:rsidRPr="006F67E8">
        <w:rPr>
          <w:rFonts w:ascii="Times New Roman" w:hAnsi="Times New Roman"/>
          <w:sz w:val="24"/>
          <w:szCs w:val="24"/>
          <w:lang w:eastAsia="cs-CZ"/>
        </w:rPr>
        <w:t xml:space="preserve">u, že související transakce byly legální a řádné.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roce 2014 proběhl follow-up auditu systému. Bylo identifikováno jedno střední zjištění (týká se ŘO). Toto zjištění se týkalo nedopracované oblasti týkající se ČMZRB v popisu ŘKS. Dále bylo identifikováno 10 zjištění s nízkou mírou významnosti.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Kromě follow-up auditu systému bylo v rámci OPPI a v souladu s konsolidovaným plánem na rok 2014 provedeno Auditním orgánem celkem 52 auditů operací. Z uvedeného počtu bylo identifikováno celkem 38 zjištění u 18 operací. Z uvedeného počtu zjištění je 18 s</w:t>
      </w:r>
      <w:r>
        <w:rPr>
          <w:rFonts w:ascii="Times New Roman" w:hAnsi="Times New Roman"/>
          <w:sz w:val="24"/>
          <w:szCs w:val="24"/>
          <w:lang w:eastAsia="cs-CZ"/>
        </w:rPr>
        <w:t> </w:t>
      </w:r>
      <w:r w:rsidRPr="006F67E8">
        <w:rPr>
          <w:rFonts w:ascii="Times New Roman" w:hAnsi="Times New Roman"/>
          <w:sz w:val="24"/>
          <w:szCs w:val="24"/>
          <w:lang w:eastAsia="cs-CZ"/>
        </w:rPr>
        <w:t xml:space="preserve">nízkou mírou závažnosti, 7 se střední mírou závažnosti a 13 s vysokou mírou závažnosti. Zauditována byla částka 5 552 773 678,85 Kč, tj. 11,90 % z celkových certifikovaných výdajů.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Z auditů operací vyplývá za dané období projektovaná chybovost ve výši 2,49 %.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rámci vykonaných auditů bylo klasifikováno vyhodnocení funkčnosti ŘKS v kategorii 2 „Funguje, ale jsou třeba určitá zlepšení“.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roce 2014 byly provedeny 3 mimořádn</w:t>
      </w:r>
      <w:r>
        <w:rPr>
          <w:rFonts w:ascii="Times New Roman" w:hAnsi="Times New Roman"/>
          <w:sz w:val="24"/>
          <w:szCs w:val="24"/>
          <w:lang w:eastAsia="cs-CZ"/>
        </w:rPr>
        <w:t>á</w:t>
      </w:r>
      <w:r w:rsidRPr="006F67E8">
        <w:rPr>
          <w:rFonts w:ascii="Times New Roman" w:hAnsi="Times New Roman"/>
          <w:sz w:val="24"/>
          <w:szCs w:val="24"/>
          <w:lang w:eastAsia="cs-CZ"/>
        </w:rPr>
        <w:t xml:space="preserve"> auditní šetření z Operačního programu Průmysl a podnikání. V uvedených auditních šetřeních byl</w:t>
      </w:r>
      <w:r>
        <w:rPr>
          <w:rFonts w:ascii="Times New Roman" w:hAnsi="Times New Roman"/>
          <w:sz w:val="24"/>
          <w:szCs w:val="24"/>
          <w:lang w:eastAsia="cs-CZ"/>
        </w:rPr>
        <w:t>a</w:t>
      </w:r>
      <w:r w:rsidRPr="006F67E8">
        <w:rPr>
          <w:rFonts w:ascii="Times New Roman" w:hAnsi="Times New Roman"/>
          <w:sz w:val="24"/>
          <w:szCs w:val="24"/>
          <w:lang w:eastAsia="cs-CZ"/>
        </w:rPr>
        <w:t xml:space="preserve"> identifikován</w:t>
      </w:r>
      <w:r>
        <w:rPr>
          <w:rFonts w:ascii="Times New Roman" w:hAnsi="Times New Roman"/>
          <w:sz w:val="24"/>
          <w:szCs w:val="24"/>
          <w:lang w:eastAsia="cs-CZ"/>
        </w:rPr>
        <w:t>a</w:t>
      </w:r>
      <w:r w:rsidRPr="006F67E8">
        <w:rPr>
          <w:rFonts w:ascii="Times New Roman" w:hAnsi="Times New Roman"/>
          <w:sz w:val="24"/>
          <w:szCs w:val="24"/>
          <w:lang w:eastAsia="cs-CZ"/>
        </w:rPr>
        <w:t xml:space="preserve"> celkem 2 zjištění u 2 operací. Z uvedeného počtu zjištění je 1 s nízkou mírou závažnosti a 1 s vysokou mírou závažnosti. Zauditována byla částka 366 738 831,00 Kč.</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byly zejména v těchto oblastech:</w:t>
      </w:r>
    </w:p>
    <w:p w:rsidR="00F27B03" w:rsidRPr="006F67E8" w:rsidRDefault="00F27B03" w:rsidP="00C20038">
      <w:pPr>
        <w:numPr>
          <w:ilvl w:val="0"/>
          <w:numId w:val="17"/>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pravidla pro veřejné zakázky (60 % zjištění),</w:t>
      </w:r>
    </w:p>
    <w:p w:rsidR="00F27B03" w:rsidRPr="006F67E8" w:rsidRDefault="00F27B03" w:rsidP="00C20038">
      <w:pPr>
        <w:numPr>
          <w:ilvl w:val="0"/>
          <w:numId w:val="17"/>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účetnictví (12 % zjištění),</w:t>
      </w:r>
    </w:p>
    <w:p w:rsidR="00F27B03" w:rsidRPr="006F67E8" w:rsidRDefault="00F27B03" w:rsidP="00C20038">
      <w:pPr>
        <w:numPr>
          <w:ilvl w:val="0"/>
          <w:numId w:val="17"/>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neodůvodněný výdaj (16 % zjištění),</w:t>
      </w:r>
    </w:p>
    <w:p w:rsidR="00F27B03" w:rsidRPr="006F67E8" w:rsidRDefault="00F27B03" w:rsidP="00C20038">
      <w:pPr>
        <w:numPr>
          <w:ilvl w:val="0"/>
          <w:numId w:val="17"/>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nedodržení termínů (4 % zjištění),</w:t>
      </w:r>
    </w:p>
    <w:p w:rsidR="00F27B03" w:rsidRPr="006F67E8" w:rsidRDefault="00F27B03" w:rsidP="00C20038">
      <w:pPr>
        <w:numPr>
          <w:ilvl w:val="0"/>
          <w:numId w:val="17"/>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ostatní (8 % zjištění).</w:t>
      </w:r>
    </w:p>
    <w:p w:rsidR="00F27B03" w:rsidRDefault="00F27B03" w:rsidP="00F863FC">
      <w:pPr>
        <w:ind w:firstLine="708"/>
        <w:rPr>
          <w:rFonts w:ascii="Times New Roman" w:hAnsi="Times New Roman"/>
          <w:sz w:val="24"/>
          <w:szCs w:val="24"/>
          <w:lang w:eastAsia="cs-CZ"/>
        </w:rPr>
      </w:pPr>
      <w:r w:rsidRPr="006F67E8">
        <w:rPr>
          <w:rFonts w:ascii="Times New Roman" w:hAnsi="Times New Roman"/>
          <w:sz w:val="24"/>
          <w:szCs w:val="24"/>
          <w:lang w:eastAsia="cs-CZ"/>
        </w:rPr>
        <w:t>Nedostatky v oblasti veřejných zakázek jsou i nadále považovány auditory AO za systémové, kdy je nutné z úrovně ŘO zajistit účinné ověřování administrovaných žádostí o</w:t>
      </w:r>
      <w:r>
        <w:rPr>
          <w:rFonts w:ascii="Times New Roman" w:hAnsi="Times New Roman"/>
          <w:sz w:val="24"/>
          <w:szCs w:val="24"/>
          <w:lang w:eastAsia="cs-CZ"/>
        </w:rPr>
        <w:t xml:space="preserve"> platbu včetně veřejných zakázek. </w:t>
      </w:r>
    </w:p>
    <w:p w:rsidR="00F27B03" w:rsidRPr="00F863FC" w:rsidRDefault="00F27B03" w:rsidP="00436936">
      <w:pPr>
        <w:rPr>
          <w:rFonts w:ascii="Times New Roman" w:hAnsi="Times New Roman"/>
          <w:sz w:val="24"/>
          <w:szCs w:val="24"/>
          <w:lang w:eastAsia="cs-CZ"/>
        </w:rPr>
      </w:pPr>
    </w:p>
    <w:p w:rsidR="00F27B03" w:rsidRPr="006F67E8" w:rsidRDefault="00F27B03" w:rsidP="00F863FC">
      <w:pPr>
        <w:rPr>
          <w:rFonts w:ascii="Times New Roman" w:hAnsi="Times New Roman"/>
          <w:b/>
          <w:sz w:val="24"/>
          <w:szCs w:val="24"/>
          <w:lang w:eastAsia="cs-CZ"/>
        </w:rPr>
      </w:pPr>
      <w:r w:rsidRPr="006F67E8">
        <w:rPr>
          <w:rFonts w:ascii="Times New Roman" w:hAnsi="Times New Roman"/>
          <w:b/>
          <w:sz w:val="24"/>
          <w:szCs w:val="24"/>
          <w:lang w:eastAsia="cs-CZ"/>
        </w:rPr>
        <w:t>O</w:t>
      </w:r>
      <w:r>
        <w:rPr>
          <w:rFonts w:ascii="Times New Roman" w:hAnsi="Times New Roman"/>
          <w:b/>
          <w:sz w:val="24"/>
          <w:szCs w:val="24"/>
          <w:lang w:eastAsia="cs-CZ"/>
        </w:rPr>
        <w:t>perační program Doprava („OPD“)</w:t>
      </w:r>
    </w:p>
    <w:p w:rsidR="00F27B03" w:rsidRPr="006F67E8" w:rsidRDefault="00F27B03" w:rsidP="00F863FC">
      <w:pPr>
        <w:autoSpaceDE w:val="0"/>
        <w:autoSpaceDN w:val="0"/>
        <w:adjustRightInd w:val="0"/>
        <w:ind w:firstLine="708"/>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 xml:space="preserve">Pokud se jedná o Operační program Doprava, k Výroční kontrolní zprávě bylo za rok 2014 vydáno výroční stanovisko „s výhradou“. V rámci řídícího a kontrolního systému </w:t>
      </w:r>
      <w:r w:rsidRPr="006F67E8">
        <w:rPr>
          <w:rFonts w:ascii="Times New Roman" w:hAnsi="Times New Roman"/>
          <w:iCs/>
          <w:color w:val="000000"/>
          <w:sz w:val="24"/>
          <w:szCs w:val="24"/>
          <w:lang w:eastAsia="cs-CZ"/>
        </w:rPr>
        <w:lastRenderedPageBreak/>
        <w:t xml:space="preserve">řídícího orgánu OPD byly identifikovány nedostatky v plnění klíčových požadavků u ŘO, ZS a GFŘ. Zjištění auditorů se týkala různých oblastí, kterým musí ŘO OPD (resp. ZS OPD) věnovat v dalším období zvýšenou pozornost: </w:t>
      </w:r>
    </w:p>
    <w:p w:rsidR="00F27B03" w:rsidRPr="006F67E8" w:rsidRDefault="00F27B03" w:rsidP="00C20038">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proces věcného hodnocení předkládaných projektů a jejich následného schvalování (délka procesu, vrácení projektů z EK k přepracování atd.), který v případě špatného fungování může významně negativně ovlivnit systém implementace OPD,</w:t>
      </w:r>
    </w:p>
    <w:p w:rsidR="00F27B03" w:rsidRPr="006F67E8" w:rsidRDefault="00F27B03" w:rsidP="00C20038">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systém řízení rizik na úrovni jednotlivých operací, který nebyl zárukou adekvátního zajištění předvídatelnosti rizik a jejich minimalizace,</w:t>
      </w:r>
    </w:p>
    <w:p w:rsidR="00F27B03" w:rsidRPr="006F67E8" w:rsidRDefault="00F27B03" w:rsidP="00EB4440">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zdlouhavý proces řízení a řešení nesrovnalostí v požadované lhůtě 6 měsíců od zadání nesrovnalosti do systému MSC2007,</w:t>
      </w:r>
    </w:p>
    <w:p w:rsidR="00F27B03" w:rsidRPr="006F67E8" w:rsidRDefault="00F27B03" w:rsidP="00EB4440">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systém uchovávání dokumentace, zejména související s kontrolami VZ (rozdílný rozsah ukládané dokumentace ze zadávacího řízení u různých projektů, nedostatečný audit trail, formální vyplňování kontrolních listů bez potřebné dokumentace),</w:t>
      </w:r>
    </w:p>
    <w:p w:rsidR="00F27B03" w:rsidRPr="00A821C2" w:rsidRDefault="00F27B03" w:rsidP="00A821C2">
      <w:pPr>
        <w:numPr>
          <w:ilvl w:val="0"/>
          <w:numId w:val="13"/>
        </w:numPr>
        <w:tabs>
          <w:tab w:val="num" w:pos="643"/>
        </w:tabs>
        <w:autoSpaceDE w:val="0"/>
        <w:autoSpaceDN w:val="0"/>
        <w:adjustRightInd w:val="0"/>
        <w:contextualSpacing/>
        <w:outlineLvl w:val="0"/>
        <w:rPr>
          <w:rFonts w:ascii="Times New Roman" w:hAnsi="Times New Roman"/>
          <w:color w:val="FF0000"/>
          <w:sz w:val="24"/>
          <w:szCs w:val="24"/>
          <w:lang w:eastAsia="cs-CZ"/>
        </w:rPr>
      </w:pPr>
      <w:r w:rsidRPr="00EB4440">
        <w:rPr>
          <w:rFonts w:ascii="Times New Roman" w:hAnsi="Times New Roman"/>
          <w:iCs/>
          <w:color w:val="000000"/>
          <w:sz w:val="24"/>
          <w:szCs w:val="24"/>
          <w:lang w:eastAsia="cs-CZ"/>
        </w:rPr>
        <w:t>systémové vyhodnocování a přijímání preventivních a následných opatření v případě identifikovaných systémových chyb.</w:t>
      </w:r>
    </w:p>
    <w:p w:rsidR="00F27B03" w:rsidRPr="006F67E8" w:rsidRDefault="00F27B03" w:rsidP="00A821C2">
      <w:pPr>
        <w:autoSpaceDE w:val="0"/>
        <w:autoSpaceDN w:val="0"/>
        <w:adjustRightInd w:val="0"/>
        <w:ind w:firstLine="708"/>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Dne 28. 7. 2014 byl zahájen audit systému č. OPD/2014/S/001 (131/14/OPD), který byl zaměřen zejména na ověření stavu nápravných opatření přijatých na základě výsledků z</w:t>
      </w:r>
      <w:r>
        <w:rPr>
          <w:rFonts w:ascii="Times New Roman" w:hAnsi="Times New Roman"/>
          <w:iCs/>
          <w:color w:val="000000"/>
          <w:sz w:val="24"/>
          <w:szCs w:val="24"/>
          <w:lang w:eastAsia="cs-CZ"/>
        </w:rPr>
        <w:t> </w:t>
      </w:r>
      <w:r w:rsidRPr="006F67E8">
        <w:rPr>
          <w:rFonts w:ascii="Times New Roman" w:hAnsi="Times New Roman"/>
          <w:iCs/>
          <w:color w:val="000000"/>
          <w:sz w:val="24"/>
          <w:szCs w:val="24"/>
          <w:lang w:eastAsia="cs-CZ"/>
        </w:rPr>
        <w:t>předchozího auditu systému.</w:t>
      </w:r>
    </w:p>
    <w:p w:rsidR="00F27B03" w:rsidRPr="006F67E8" w:rsidRDefault="00F27B03" w:rsidP="009761CF">
      <w:pPr>
        <w:autoSpaceDE w:val="0"/>
        <w:autoSpaceDN w:val="0"/>
        <w:adjustRightInd w:val="0"/>
        <w:ind w:firstLine="708"/>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Z 26 celkově zahájených auditů operací v referenčním období byly do 31. 12. 2014 dokončeny všechny. V rámci těchto auditů operací bylo identifikováno 128 zjištění, z toho 54 zjištění s vysokou mírou závažnosti, 16 zjištění se střední mírou a 58 zjištění s nízkou mírou závažnosti. Jednalo se zejména o tyto oblasti:</w:t>
      </w:r>
    </w:p>
    <w:p w:rsidR="00F27B03" w:rsidRPr="006F67E8" w:rsidRDefault="00F27B03" w:rsidP="00EB4440">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ne/předvídanost dodatečných stavebních prací ve vztahu k uznatelnosti výdajů jako způsobilých k proplacení z EU,</w:t>
      </w:r>
    </w:p>
    <w:p w:rsidR="00F27B03" w:rsidRPr="006F67E8" w:rsidRDefault="00F27B03" w:rsidP="00EB4440">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nedodržování lhůt při procesu zadávání VZ vyplývajících ze zákona č. 40/2004 Sb., resp. č. 137/2006 Sb., o veřejných zakázkách,</w:t>
      </w:r>
    </w:p>
    <w:p w:rsidR="00F27B03" w:rsidRPr="00EB4440" w:rsidRDefault="00F27B03" w:rsidP="00EB4440">
      <w:pPr>
        <w:numPr>
          <w:ilvl w:val="0"/>
          <w:numId w:val="13"/>
        </w:numPr>
        <w:tabs>
          <w:tab w:val="num" w:pos="643"/>
        </w:tabs>
        <w:autoSpaceDE w:val="0"/>
        <w:autoSpaceDN w:val="0"/>
        <w:adjustRightInd w:val="0"/>
        <w:contextualSpacing/>
        <w:outlineLvl w:val="0"/>
        <w:rPr>
          <w:rFonts w:ascii="Times New Roman" w:hAnsi="Times New Roman"/>
          <w:iCs/>
          <w:color w:val="000000"/>
          <w:sz w:val="24"/>
          <w:szCs w:val="24"/>
          <w:lang w:eastAsia="cs-CZ"/>
        </w:rPr>
      </w:pPr>
      <w:r w:rsidRPr="006F67E8">
        <w:rPr>
          <w:rFonts w:ascii="Times New Roman" w:hAnsi="Times New Roman"/>
          <w:iCs/>
          <w:color w:val="000000"/>
          <w:sz w:val="24"/>
          <w:szCs w:val="24"/>
          <w:lang w:eastAsia="cs-CZ"/>
        </w:rPr>
        <w:t>nakládání s vyzískaným materiálem.</w:t>
      </w:r>
    </w:p>
    <w:p w:rsidR="00F27B03" w:rsidRPr="00F863FC" w:rsidRDefault="00F27B03" w:rsidP="00F863FC">
      <w:pPr>
        <w:autoSpaceDE w:val="0"/>
        <w:autoSpaceDN w:val="0"/>
        <w:adjustRightInd w:val="0"/>
        <w:spacing w:before="120"/>
        <w:ind w:left="720"/>
        <w:contextualSpacing/>
        <w:outlineLvl w:val="0"/>
        <w:rPr>
          <w:rFonts w:ascii="Times New Roman" w:hAnsi="Times New Roman"/>
          <w:sz w:val="24"/>
          <w:szCs w:val="24"/>
          <w:lang w:eastAsia="cs-CZ"/>
        </w:rPr>
      </w:pPr>
    </w:p>
    <w:p w:rsidR="00F27B03" w:rsidRPr="00F863FC" w:rsidRDefault="00F27B03" w:rsidP="00F863FC">
      <w:pPr>
        <w:rPr>
          <w:rFonts w:ascii="Times New Roman" w:hAnsi="Times New Roman"/>
          <w:b/>
          <w:sz w:val="24"/>
          <w:szCs w:val="24"/>
          <w:lang w:eastAsia="cs-CZ"/>
        </w:rPr>
      </w:pPr>
      <w:r w:rsidRPr="006F67E8">
        <w:rPr>
          <w:rFonts w:ascii="Times New Roman" w:hAnsi="Times New Roman"/>
          <w:b/>
          <w:sz w:val="24"/>
          <w:szCs w:val="24"/>
          <w:lang w:eastAsia="cs-CZ"/>
        </w:rPr>
        <w:t>Operační program Výzku</w:t>
      </w:r>
      <w:r>
        <w:rPr>
          <w:rFonts w:ascii="Times New Roman" w:hAnsi="Times New Roman"/>
          <w:b/>
          <w:sz w:val="24"/>
          <w:szCs w:val="24"/>
          <w:lang w:eastAsia="cs-CZ"/>
        </w:rPr>
        <w:t>m a vývoj pro inovace („VaVpI“)</w:t>
      </w:r>
    </w:p>
    <w:p w:rsidR="00F27B03" w:rsidRPr="006F67E8" w:rsidRDefault="00F27B03" w:rsidP="00F863FC">
      <w:pPr>
        <w:spacing w:before="120"/>
        <w:ind w:firstLine="708"/>
        <w:rPr>
          <w:rFonts w:ascii="Times New Roman" w:hAnsi="Times New Roman"/>
          <w:bCs/>
          <w:sz w:val="24"/>
          <w:szCs w:val="24"/>
          <w:lang w:eastAsia="cs-CZ"/>
        </w:rPr>
      </w:pPr>
      <w:r w:rsidRPr="006F67E8">
        <w:rPr>
          <w:rFonts w:ascii="Times New Roman" w:hAnsi="Times New Roman"/>
          <w:sz w:val="24"/>
          <w:szCs w:val="24"/>
          <w:lang w:eastAsia="cs-CZ"/>
        </w:rPr>
        <w:t xml:space="preserve">Na základě přezkoumání fungování řídících a kontrolních systémů bylo pro Operační program Výzkum a vývoj pro inovace v rámci Výroční kontrolní zprávy za rok 2014 vydáno </w:t>
      </w:r>
      <w:r w:rsidRPr="006F67E8">
        <w:rPr>
          <w:rFonts w:ascii="Times New Roman" w:hAnsi="Times New Roman"/>
          <w:i/>
          <w:sz w:val="24"/>
          <w:szCs w:val="24"/>
          <w:lang w:eastAsia="cs-CZ"/>
        </w:rPr>
        <w:lastRenderedPageBreak/>
        <w:t>stanovisko s výhradou</w:t>
      </w:r>
      <w:r w:rsidRPr="006F67E8">
        <w:rPr>
          <w:rFonts w:ascii="Times New Roman" w:hAnsi="Times New Roman"/>
          <w:sz w:val="24"/>
          <w:szCs w:val="24"/>
          <w:lang w:eastAsia="cs-CZ"/>
        </w:rPr>
        <w:t>. Podle tohoto výročního stanoviska byly řídící a kontrolní systémy zřízené pro účely programu OP Výzkum a vývoj pro inovace za období 2013/2014 v souladu s platnými požadavky článků 58 až 62 nařízení Rady (ES) č. 1083/2006 a fungovaly účinně a</w:t>
      </w:r>
      <w:r>
        <w:rPr>
          <w:rFonts w:ascii="Times New Roman" w:hAnsi="Times New Roman"/>
          <w:sz w:val="24"/>
          <w:szCs w:val="24"/>
          <w:lang w:eastAsia="cs-CZ"/>
        </w:rPr>
        <w:t> </w:t>
      </w:r>
      <w:r w:rsidRPr="006F67E8">
        <w:rPr>
          <w:rFonts w:ascii="Times New Roman" w:hAnsi="Times New Roman"/>
          <w:sz w:val="24"/>
          <w:szCs w:val="24"/>
          <w:lang w:eastAsia="cs-CZ"/>
        </w:rPr>
        <w:t>poskytly tak přiměřenou jistotu, že výkazy výdajů předložené Komisi byly správné, a tudíž</w:t>
      </w:r>
      <w:r>
        <w:rPr>
          <w:rFonts w:ascii="Times New Roman" w:hAnsi="Times New Roman"/>
          <w:sz w:val="24"/>
          <w:szCs w:val="24"/>
          <w:lang w:eastAsia="cs-CZ"/>
        </w:rPr>
        <w:t xml:space="preserve"> s </w:t>
      </w:r>
      <w:r w:rsidRPr="006F67E8">
        <w:rPr>
          <w:rFonts w:ascii="Times New Roman" w:hAnsi="Times New Roman"/>
          <w:sz w:val="24"/>
          <w:szCs w:val="24"/>
          <w:lang w:eastAsia="cs-CZ"/>
        </w:rPr>
        <w:t>přiměřenou jistot</w:t>
      </w:r>
      <w:r>
        <w:rPr>
          <w:rFonts w:ascii="Times New Roman" w:hAnsi="Times New Roman"/>
          <w:sz w:val="24"/>
          <w:szCs w:val="24"/>
          <w:lang w:eastAsia="cs-CZ"/>
        </w:rPr>
        <w:t>o</w:t>
      </w:r>
      <w:r w:rsidRPr="006F67E8">
        <w:rPr>
          <w:rFonts w:ascii="Times New Roman" w:hAnsi="Times New Roman"/>
          <w:sz w:val="24"/>
          <w:szCs w:val="24"/>
          <w:lang w:eastAsia="cs-CZ"/>
        </w:rPr>
        <w:t xml:space="preserve">u, že související transakce byly legální a řádné. Nedostatky byly identifikovány v rámci auditu systému č. VAVPI/2013/S/1a prováděného u Řídícího orgánu OP VaVpI, kde byl řídící a kontrolní systém klasifikován v kategorii 3 – </w:t>
      </w:r>
      <w:r w:rsidRPr="006F67E8">
        <w:rPr>
          <w:rFonts w:ascii="Times New Roman" w:hAnsi="Times New Roman"/>
          <w:bCs/>
          <w:sz w:val="24"/>
          <w:szCs w:val="24"/>
          <w:lang w:eastAsia="cs-CZ"/>
        </w:rPr>
        <w:t xml:space="preserve">„Systém funguje částečně; jsou třeba zásadní zlepšení“. V rámci přijetí plnění opatření k nápravě a v rámci </w:t>
      </w:r>
      <w:r w:rsidRPr="006F67E8">
        <w:rPr>
          <w:rFonts w:ascii="Times New Roman" w:hAnsi="Times New Roman"/>
          <w:sz w:val="24"/>
          <w:szCs w:val="24"/>
          <w:lang w:eastAsia="cs-CZ"/>
        </w:rPr>
        <w:t>auditu systému č. OP VaVpI KP 1 – 7, který byl zahájen dne 8. 10. 2014,</w:t>
      </w:r>
      <w:r w:rsidRPr="006F67E8">
        <w:rPr>
          <w:rFonts w:ascii="Times New Roman" w:hAnsi="Times New Roman"/>
          <w:bCs/>
          <w:sz w:val="24"/>
          <w:szCs w:val="24"/>
          <w:lang w:eastAsia="cs-CZ"/>
        </w:rPr>
        <w:t xml:space="preserve"> došlo ke zvýšení úrovně spolehlivosti systému na kategorii 2 – „Systém </w:t>
      </w:r>
      <w:r w:rsidRPr="006F67E8">
        <w:rPr>
          <w:rFonts w:ascii="Times New Roman" w:hAnsi="Times New Roman"/>
          <w:sz w:val="24"/>
          <w:szCs w:val="24"/>
          <w:lang w:eastAsia="cs-CZ"/>
        </w:rPr>
        <w:t>Funguje, ale jsou třeba určitá zlepšení“.</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Kromě auditů systému bylo v rámci OP VaVpI v souladu s konsolidovaným plánem na rok 2014 provedeno celkem 29 auditů operací. U auditu operace č. VAVPI/2014/O/003 došlo ke sloučení s mimořádným auditem zdravotnictví č. AO/2014/MO/021. Z uvedeného počtu auditů operací bylo identifikováno celkem 164 zjištění, z toho 105 zjištění bylo s nízkou mírou závažnosti, 36 zjištění se střední a 23 zjištění s vysokou mírou závažnosti. Výchozí auditované výdaje vybraného vzorku byly ve výši 16 168 852 950,45 Kč. Celková chybovost v namátkovém vzorku dosáhla 1,23 %.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Chyby identifikované v rámci auditů operací se nejčastěji týkaly:</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oblasti zadávání veřejných zakázek (48 % zjištění),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pracovních smluv, výkazů, mez a platů (20 % zjištění),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nedodržování auditní stopy (13 % zjištění),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nedostatků při nakládání s veřejnými prostředky (pravidlo 3E – 9 %),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předvídatelnosti a opodstatněnosti víceprací.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Nedostatky v oblasti veřejných zakázek jsou i nadále považovány auditory AO za systémové, kdy je nutné z úrovně ŘO zajistit účinné ověřování administrovaných žádostí o platbu vč</w:t>
      </w:r>
      <w:r>
        <w:rPr>
          <w:rFonts w:ascii="Times New Roman" w:hAnsi="Times New Roman"/>
          <w:sz w:val="24"/>
          <w:szCs w:val="24"/>
          <w:lang w:eastAsia="cs-CZ"/>
        </w:rPr>
        <w:t>etně</w:t>
      </w:r>
      <w:r w:rsidRPr="006F67E8">
        <w:rPr>
          <w:rFonts w:ascii="Times New Roman" w:hAnsi="Times New Roman"/>
          <w:sz w:val="24"/>
          <w:szCs w:val="24"/>
          <w:lang w:eastAsia="cs-CZ"/>
        </w:rPr>
        <w:t xml:space="preserve"> veřejných zakázek.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V průběhu roku 2014 byla zajištěna rotace auditorů u 16 z 29 auditů operací, tj. cca 55% rotace OP VaVpI na pozicích vedoucí auditního týmu a člen auditního týmu.</w:t>
      </w:r>
    </w:p>
    <w:p w:rsidR="00F27B03" w:rsidRPr="00F863FC" w:rsidRDefault="00F27B03" w:rsidP="00F863FC">
      <w:pPr>
        <w:rPr>
          <w:rFonts w:ascii="Times New Roman" w:hAnsi="Times New Roman"/>
          <w:b/>
          <w:sz w:val="24"/>
          <w:szCs w:val="24"/>
          <w:lang w:eastAsia="cs-CZ"/>
        </w:rPr>
      </w:pPr>
      <w:r w:rsidRPr="006F67E8">
        <w:rPr>
          <w:rFonts w:ascii="Times New Roman" w:hAnsi="Times New Roman"/>
          <w:b/>
          <w:sz w:val="24"/>
          <w:szCs w:val="24"/>
          <w:lang w:eastAsia="cs-CZ"/>
        </w:rPr>
        <w:t>Operační pro</w:t>
      </w:r>
      <w:r>
        <w:rPr>
          <w:rFonts w:ascii="Times New Roman" w:hAnsi="Times New Roman"/>
          <w:b/>
          <w:sz w:val="24"/>
          <w:szCs w:val="24"/>
          <w:lang w:eastAsia="cs-CZ"/>
        </w:rPr>
        <w:t>gram Životní prostředí („OPŽP“)</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Pokud jde o Operační program Životní prostředí, Auditní orgán při stanovování celkového závěru vycházel z podstatných skutečností, které v daném referenčním období nastaly.</w:t>
      </w:r>
    </w:p>
    <w:p w:rsidR="00F27B03" w:rsidRPr="006F67E8" w:rsidRDefault="00F27B03" w:rsidP="009761CF">
      <w:pPr>
        <w:spacing w:after="0"/>
        <w:ind w:firstLine="709"/>
        <w:rPr>
          <w:rFonts w:ascii="Times New Roman" w:hAnsi="Times New Roman"/>
          <w:sz w:val="24"/>
          <w:szCs w:val="24"/>
          <w:lang w:eastAsia="cs-CZ"/>
        </w:rPr>
      </w:pPr>
      <w:r w:rsidRPr="006F67E8">
        <w:rPr>
          <w:rFonts w:ascii="Times New Roman" w:hAnsi="Times New Roman"/>
          <w:sz w:val="24"/>
          <w:szCs w:val="24"/>
          <w:lang w:eastAsia="cs-CZ"/>
        </w:rPr>
        <w:t>Jednalo se o vyhodnocení výsledku auditu systému z roku 2014, který vyhodnotil řídící a kontrolní systém OP Životní prostředí v kategorii 2 – Funguje, ale jsou třeba určitá zlepšení, neboť byly zjištěny nedostatky zejména v oblasti řídící kontroly. Tyto nedostatky s ohledem na posouzení jejich dopadu a po zohlednění auditorského rizika mají dopad na fungování klíčových požadavků systému. Pro snížení dopadu na efektivní fungování systému byla stanovena doporučení a akční plán. V návaznosti na výše uvedené skutečnosti vydal Auditní orgán stanovisko s výhradou.</w:t>
      </w:r>
    </w:p>
    <w:p w:rsidR="00F27B03" w:rsidRPr="006F67E8" w:rsidRDefault="00F27B03" w:rsidP="009761CF">
      <w:pPr>
        <w:autoSpaceDE w:val="0"/>
        <w:autoSpaceDN w:val="0"/>
        <w:adjustRightInd w:val="0"/>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Dále bylo v roce 2014 provedeno celkem 31 auditů operací. Bylo identifikováno 63 zjištění, z toho 11 zjištění je řešeno v rámci procesu hlášení nesrovnalostí. Objem auditovaných prostředků za rok 2014, které byly Auditním orgánem vybrány do vzorku pro rok 2014 za OPŽP, činil 3 582 115 523,27 Kč. Z toho pak identifikovaná výše nesprávnosti dle IS AO činila 67 753 740,81 Kč. </w:t>
      </w:r>
    </w:p>
    <w:p w:rsidR="00F27B03" w:rsidRPr="006F67E8" w:rsidRDefault="00F27B03" w:rsidP="009761CF">
      <w:pPr>
        <w:autoSpaceDE w:val="0"/>
        <w:autoSpaceDN w:val="0"/>
        <w:adjustRightInd w:val="0"/>
        <w:outlineLvl w:val="0"/>
        <w:rPr>
          <w:rFonts w:ascii="TimesNewRomanPSMT" w:hAnsi="TimesNewRomanPSMT" w:cs="TimesNewRomanPSMT"/>
          <w:sz w:val="24"/>
          <w:szCs w:val="24"/>
        </w:rPr>
      </w:pPr>
      <w:r w:rsidRPr="006F67E8">
        <w:rPr>
          <w:rFonts w:ascii="TimesNewRomanPSMT" w:hAnsi="TimesNewRomanPSMT" w:cs="TimesNewRomanPSMT"/>
          <w:sz w:val="24"/>
          <w:szCs w:val="24"/>
        </w:rPr>
        <w:t>Hlavní příčinou zjištěných nedostatků při auditech operací bylo převážně:</w:t>
      </w:r>
    </w:p>
    <w:p w:rsidR="00F27B03" w:rsidRPr="006F67E8" w:rsidRDefault="00F27B03" w:rsidP="00C20038">
      <w:pPr>
        <w:numPr>
          <w:ilvl w:val="0"/>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nerespektování procesních pravidel při realizaci výběrových řízení,</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chybná volba druhu zadávacího řízení,</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netransparentní omezení počtu zájemců losováním,</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nedostatky při posuzování nabídek, chyby členů hodnotící komise,</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dělení zakázek,</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nedodržování lhůt pro podání nabídek.</w:t>
      </w:r>
    </w:p>
    <w:p w:rsidR="00F27B03" w:rsidRPr="006F67E8" w:rsidRDefault="00F27B03" w:rsidP="00C20038">
      <w:pPr>
        <w:numPr>
          <w:ilvl w:val="0"/>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v jednom případě byla zjištěna nehospodárnost při čerpání dotace.</w:t>
      </w:r>
    </w:p>
    <w:p w:rsidR="00F27B03" w:rsidRPr="006F67E8" w:rsidRDefault="00F27B03" w:rsidP="00903D85">
      <w:pPr>
        <w:rPr>
          <w:rFonts w:ascii="Times New Roman" w:hAnsi="Times New Roman"/>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Integ</w:t>
      </w:r>
      <w:r>
        <w:rPr>
          <w:rFonts w:ascii="Times New Roman" w:hAnsi="Times New Roman"/>
          <w:b/>
          <w:sz w:val="24"/>
          <w:szCs w:val="24"/>
          <w:lang w:eastAsia="cs-CZ"/>
        </w:rPr>
        <w:t>rovaný operační program („IOP“)</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v rámci Integrovaného operačního programu, kdy byla funkčnost řídícího a kontrolního systému Integrovaného operačního programu celkově vyhodnocena v kategorii 2 – systém funguje, ale jsou potřeba určitá zlepšení, a na základě výsledků auditů operací, kdy nejpravděpodobnější míra nesprávnosti je vyšší než 2 %, a tedy překročila přípustnou míru chybovosti (materialitu 2 %), vydal Auditní orgán stanovisko „s výhradou“. V rámci IOP bylo v roce 2014 provedeno celkem 67 řádných auditů operací s objemem certifikovaných prostředků ve výši 5,397 mld. Kč, tj. 47,27 % celkových certifikovaných prostředků roku 2013.</w:t>
      </w:r>
    </w:p>
    <w:p w:rsidR="00F27B03" w:rsidRPr="006F67E8" w:rsidRDefault="00F27B03" w:rsidP="009761CF">
      <w:pPr>
        <w:autoSpaceDE w:val="0"/>
        <w:autoSpaceDN w:val="0"/>
        <w:adjustRightInd w:val="0"/>
        <w:outlineLvl w:val="0"/>
        <w:rPr>
          <w:rFonts w:ascii="TimesNewRomanPSMT" w:hAnsi="TimesNewRomanPSMT" w:cs="TimesNewRomanPSMT"/>
          <w:sz w:val="24"/>
          <w:szCs w:val="24"/>
        </w:rPr>
      </w:pPr>
      <w:r w:rsidRPr="006F67E8">
        <w:rPr>
          <w:rFonts w:ascii="TimesNewRomanPSMT" w:hAnsi="TimesNewRomanPSMT" w:cs="TimesNewRomanPSMT"/>
          <w:sz w:val="24"/>
          <w:szCs w:val="24"/>
        </w:rPr>
        <w:lastRenderedPageBreak/>
        <w:t>Hlavní příčinou zjištěných nedostatků při auditech operací je převážně:</w:t>
      </w:r>
    </w:p>
    <w:p w:rsidR="00F27B03" w:rsidRPr="006F67E8" w:rsidRDefault="00F27B03" w:rsidP="00C20038">
      <w:pPr>
        <w:numPr>
          <w:ilvl w:val="0"/>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nerespektování procesních pravidel při realizaci výběrových řízení,</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chyby v nastavených kvalifikačních kritériích,</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neoprávněné zadání JŘBU,</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nerovný přístup při poskytování ZD, př. v rámci procesu hodnocení nabídek atd.</w:t>
      </w:r>
    </w:p>
    <w:p w:rsidR="00F27B03" w:rsidRPr="006F67E8" w:rsidRDefault="00F27B03" w:rsidP="00C20038">
      <w:pPr>
        <w:numPr>
          <w:ilvl w:val="0"/>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nesoulad soutěženého rozpočtu se skutečnou realizací:</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vícepráce (forma změnových listů/změn během výstavby),</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nevěrohodné zobrazení předmětu účetnictví,</w:t>
      </w:r>
    </w:p>
    <w:p w:rsidR="00F27B03" w:rsidRPr="006F67E8" w:rsidRDefault="00F27B03" w:rsidP="00C20038">
      <w:pPr>
        <w:numPr>
          <w:ilvl w:val="1"/>
          <w:numId w:val="11"/>
        </w:numPr>
        <w:autoSpaceDE w:val="0"/>
        <w:autoSpaceDN w:val="0"/>
        <w:adjustRightInd w:val="0"/>
        <w:contextualSpacing/>
        <w:outlineLvl w:val="0"/>
        <w:rPr>
          <w:rFonts w:ascii="Times New Roman" w:hAnsi="Times New Roman"/>
          <w:sz w:val="24"/>
          <w:szCs w:val="24"/>
          <w:lang w:eastAsia="cs-CZ"/>
        </w:rPr>
      </w:pPr>
      <w:r w:rsidRPr="006F67E8">
        <w:rPr>
          <w:rFonts w:ascii="TimesNewRomanPSMT" w:hAnsi="TimesNewRomanPSMT" w:cs="TimesNewRomanPSMT"/>
          <w:sz w:val="24"/>
          <w:szCs w:val="24"/>
        </w:rPr>
        <w:t>faktury bez doložení skutečného plnění atd.</w:t>
      </w:r>
    </w:p>
    <w:p w:rsidR="00F27B03" w:rsidRPr="006F67E8" w:rsidRDefault="00F27B03" w:rsidP="009761CF">
      <w:pPr>
        <w:spacing w:after="0"/>
        <w:rPr>
          <w:rFonts w:ascii="Times New Roman" w:hAnsi="Times New Roman"/>
          <w:sz w:val="24"/>
          <w:szCs w:val="24"/>
          <w:lang w:eastAsia="cs-CZ"/>
        </w:rPr>
      </w:pPr>
      <w:r w:rsidRPr="006F67E8">
        <w:rPr>
          <w:rFonts w:ascii="Times New Roman" w:hAnsi="Times New Roman"/>
          <w:sz w:val="24"/>
          <w:szCs w:val="24"/>
          <w:lang w:eastAsia="cs-CZ"/>
        </w:rPr>
        <w:tab/>
        <w:t>Dále bylo na základě požadavku EK provedeno 18 mimořádných auditů operací, 1</w:t>
      </w:r>
      <w:r>
        <w:rPr>
          <w:rFonts w:ascii="Times New Roman" w:hAnsi="Times New Roman"/>
          <w:sz w:val="24"/>
          <w:szCs w:val="24"/>
          <w:lang w:eastAsia="cs-CZ"/>
        </w:rPr>
        <w:t> </w:t>
      </w:r>
      <w:r w:rsidRPr="006F67E8">
        <w:rPr>
          <w:rFonts w:ascii="Times New Roman" w:hAnsi="Times New Roman"/>
          <w:sz w:val="24"/>
          <w:szCs w:val="24"/>
          <w:lang w:eastAsia="cs-CZ"/>
        </w:rPr>
        <w:t xml:space="preserve">mimořádné auditní šetření a 1 mimořádný audit systému. Tyto audity byly zaměřeny na oblast intervence 3.2 Služby v oblasti veřejného zdraví (tzv. Audit zdravotnictví).  </w:t>
      </w:r>
    </w:p>
    <w:p w:rsidR="00F27B03" w:rsidRPr="006F67E8" w:rsidRDefault="00F27B03" w:rsidP="00903D85">
      <w:pPr>
        <w:rPr>
          <w:rFonts w:ascii="Times New Roman" w:hAnsi="Times New Roman"/>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Operační program P</w:t>
      </w:r>
      <w:r>
        <w:rPr>
          <w:rFonts w:ascii="Times New Roman" w:hAnsi="Times New Roman"/>
          <w:b/>
          <w:sz w:val="24"/>
          <w:szCs w:val="24"/>
          <w:lang w:eastAsia="cs-CZ"/>
        </w:rPr>
        <w:t>řeshraniční spolupráce („OPPS“)</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OPPS Česká republika – Polská republika 2007-2013 („OPPS ČR-PR“)</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Na základě přezkoumání fungování řídících a kontrolních systémů pro OPPS ČR-PR  bylo v rámci Výroční kontrolní zprávy za rok 2014 vydáno stanovisko bez výhrad. Podle tohoto stanoviska </w:t>
      </w:r>
      <w:r>
        <w:rPr>
          <w:rFonts w:ascii="Times New Roman" w:hAnsi="Times New Roman"/>
          <w:sz w:val="24"/>
          <w:szCs w:val="24"/>
          <w:lang w:eastAsia="cs-CZ"/>
        </w:rPr>
        <w:t>jsou</w:t>
      </w:r>
      <w:r w:rsidRPr="006F67E8">
        <w:rPr>
          <w:rFonts w:ascii="Times New Roman" w:hAnsi="Times New Roman"/>
          <w:sz w:val="24"/>
          <w:szCs w:val="24"/>
          <w:lang w:eastAsia="cs-CZ"/>
        </w:rPr>
        <w:t xml:space="preserve"> řídící a kontrolní systémy zřízené pro účely OP PS ČR-PR v souladu s</w:t>
      </w:r>
      <w:r>
        <w:rPr>
          <w:rFonts w:ascii="Times New Roman" w:hAnsi="Times New Roman"/>
          <w:sz w:val="24"/>
          <w:szCs w:val="24"/>
          <w:lang w:eastAsia="cs-CZ"/>
        </w:rPr>
        <w:t> </w:t>
      </w:r>
      <w:r w:rsidRPr="006F67E8">
        <w:rPr>
          <w:rFonts w:ascii="Times New Roman" w:hAnsi="Times New Roman"/>
          <w:sz w:val="24"/>
          <w:szCs w:val="24"/>
          <w:lang w:eastAsia="cs-CZ"/>
        </w:rPr>
        <w:t xml:space="preserve">platnými požadavky článků 58 až 62 nařízení Rady (ES) č. 1083/2006 a oddílu 3 nařízení Komise (ES) č. 1828/2006, fungují účinně a poskytují tak přiměřenou jistotu, že výkazy výdajů předložené Komisi jsou správné a související transakce jsou legální a řádné.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neidentifikovaly vyšší chybovost, než je přípustná chybovost. Z auditů operací sice za dané období vyplývá projektovaná chybovost ve výši 2,8 %, ale tato chybovost je z</w:t>
      </w:r>
      <w:r>
        <w:rPr>
          <w:rFonts w:ascii="Times New Roman" w:hAnsi="Times New Roman"/>
          <w:sz w:val="24"/>
          <w:szCs w:val="24"/>
          <w:lang w:eastAsia="cs-CZ"/>
        </w:rPr>
        <w:t>apříčiněna</w:t>
      </w:r>
      <w:r w:rsidRPr="006F67E8">
        <w:rPr>
          <w:rFonts w:ascii="Times New Roman" w:hAnsi="Times New Roman"/>
          <w:sz w:val="24"/>
          <w:szCs w:val="24"/>
          <w:lang w:eastAsia="cs-CZ"/>
        </w:rPr>
        <w:t xml:space="preserve"> způsobem výpočtu odpovídající metodě výběru vzorku operací (nestatistický náhodný výběr finančním intervalem). Uvedená metoda výběru vzorku a následný výpočet chybovosti se v případě malé populace ukázala jako zkreslující. V případě výpočtu projektované chybovosti metodou odpovídající nestatistickému náhodnému výběru náhodným číslem by projektovaná chybovost byla 1,35 %. S ohledem na charakter zjištěné chyby, její absolutní výši, podíl této chyby na vzorku (0,52 %) a hodnocení ŘKS vydal Auditní orgán výrok bez výhrad.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OPPS ČR-PR na území ČR klasifikován kategorií 2 – systém funguje, ale jsou zapotřebí určitá zlepšení.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 xml:space="preserve">V případě OPPS ČR-PR bylo v roce 2014 provedeno celkem 11 auditů operací. Zauditována byla částka 6 118 285,06 EUR, tj. 26,44 % z celkových certifikovaných výdajů. </w:t>
      </w:r>
    </w:p>
    <w:p w:rsidR="00F27B03" w:rsidRPr="006F67E8" w:rsidRDefault="00F27B03" w:rsidP="00A12A7E">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území ČR nebyla v rámci auditů operací ident</w:t>
      </w:r>
      <w:r>
        <w:rPr>
          <w:rFonts w:ascii="Times New Roman" w:hAnsi="Times New Roman"/>
          <w:sz w:val="24"/>
          <w:szCs w:val="24"/>
          <w:lang w:eastAsia="cs-CZ"/>
        </w:rPr>
        <w:t xml:space="preserve">ifikována žádná zjištění.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rámci auditní činnosti a byly dále auditovány i další 4 OP Přeshraniční spolupráce (Svobodný stát Bavorsko - ČR, Rakousko - ČR, Svobodný stát Sasko - ČR a Slovenská republika – Česká republika), jejichž Řídící i Auditní orgány jsou v partnerském členském státu.  </w:t>
      </w:r>
    </w:p>
    <w:p w:rsidR="00F27B03" w:rsidRPr="006F67E8" w:rsidRDefault="00F27B03" w:rsidP="00A12A7E">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souladu s plány Přeshraničních partnerů v rámci OPPS byl</w:t>
      </w:r>
      <w:r>
        <w:rPr>
          <w:rFonts w:ascii="Times New Roman" w:hAnsi="Times New Roman"/>
          <w:sz w:val="24"/>
          <w:szCs w:val="24"/>
          <w:lang w:eastAsia="cs-CZ"/>
        </w:rPr>
        <w:t>o auditním orgánem zauditováno: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2269"/>
        <w:gridCol w:w="2616"/>
        <w:gridCol w:w="1720"/>
      </w:tblGrid>
      <w:tr w:rsidR="00F27B03" w:rsidRPr="00702991" w:rsidTr="00702991">
        <w:trPr>
          <w:jc w:val="center"/>
        </w:trPr>
        <w:tc>
          <w:tcPr>
            <w:tcW w:w="1217" w:type="dxa"/>
            <w:tcBorders>
              <w:bottom w:val="single" w:sz="12" w:space="0" w:color="auto"/>
            </w:tcBorders>
            <w:vAlign w:val="center"/>
          </w:tcPr>
          <w:p w:rsidR="00F27B03" w:rsidRPr="00702991" w:rsidRDefault="00F27B03" w:rsidP="00702991">
            <w:pPr>
              <w:spacing w:after="0"/>
              <w:rPr>
                <w:rFonts w:ascii="Times New Roman" w:hAnsi="Times New Roman"/>
                <w:i/>
                <w:sz w:val="24"/>
                <w:szCs w:val="24"/>
                <w:lang w:eastAsia="cs-CZ"/>
              </w:rPr>
            </w:pPr>
            <w:r w:rsidRPr="00702991">
              <w:rPr>
                <w:rFonts w:ascii="Times New Roman" w:hAnsi="Times New Roman"/>
                <w:i/>
                <w:sz w:val="24"/>
                <w:szCs w:val="24"/>
                <w:lang w:eastAsia="cs-CZ"/>
              </w:rPr>
              <w:t>Hranice</w:t>
            </w:r>
          </w:p>
        </w:tc>
        <w:tc>
          <w:tcPr>
            <w:tcW w:w="2269" w:type="dxa"/>
            <w:tcBorders>
              <w:bottom w:val="single" w:sz="12" w:space="0" w:color="auto"/>
            </w:tcBorders>
            <w:vAlign w:val="center"/>
          </w:tcPr>
          <w:p w:rsidR="00F27B03" w:rsidRPr="00702991" w:rsidRDefault="00F27B03" w:rsidP="00702991">
            <w:pPr>
              <w:spacing w:after="0"/>
              <w:jc w:val="center"/>
              <w:rPr>
                <w:rFonts w:ascii="Times New Roman" w:hAnsi="Times New Roman"/>
                <w:i/>
                <w:sz w:val="24"/>
                <w:szCs w:val="24"/>
                <w:lang w:eastAsia="cs-CZ"/>
              </w:rPr>
            </w:pPr>
            <w:r w:rsidRPr="00702991">
              <w:rPr>
                <w:rFonts w:ascii="Times New Roman" w:hAnsi="Times New Roman"/>
                <w:i/>
                <w:sz w:val="24"/>
                <w:szCs w:val="24"/>
                <w:lang w:eastAsia="cs-CZ"/>
              </w:rPr>
              <w:t>Počet auditů operace</w:t>
            </w:r>
          </w:p>
        </w:tc>
        <w:tc>
          <w:tcPr>
            <w:tcW w:w="2616" w:type="dxa"/>
            <w:tcBorders>
              <w:bottom w:val="single" w:sz="12" w:space="0" w:color="auto"/>
            </w:tcBorders>
            <w:vAlign w:val="center"/>
          </w:tcPr>
          <w:p w:rsidR="00F27B03" w:rsidRPr="00702991" w:rsidRDefault="00F27B03" w:rsidP="00702991">
            <w:pPr>
              <w:spacing w:after="0"/>
              <w:jc w:val="right"/>
              <w:rPr>
                <w:rFonts w:ascii="Times New Roman" w:hAnsi="Times New Roman"/>
                <w:i/>
                <w:sz w:val="24"/>
                <w:szCs w:val="24"/>
                <w:lang w:eastAsia="cs-CZ"/>
              </w:rPr>
            </w:pPr>
            <w:r w:rsidRPr="00702991">
              <w:rPr>
                <w:rFonts w:ascii="Times New Roman" w:hAnsi="Times New Roman"/>
                <w:i/>
                <w:sz w:val="24"/>
                <w:szCs w:val="24"/>
                <w:lang w:eastAsia="cs-CZ"/>
              </w:rPr>
              <w:t>Zauditovaná částka</w:t>
            </w:r>
          </w:p>
        </w:tc>
        <w:tc>
          <w:tcPr>
            <w:tcW w:w="1720" w:type="dxa"/>
            <w:tcBorders>
              <w:bottom w:val="single" w:sz="12" w:space="0" w:color="auto"/>
            </w:tcBorders>
          </w:tcPr>
          <w:p w:rsidR="00F27B03" w:rsidRPr="00702991" w:rsidRDefault="00F27B03" w:rsidP="00702991">
            <w:pPr>
              <w:spacing w:after="0"/>
              <w:jc w:val="center"/>
              <w:rPr>
                <w:rFonts w:ascii="Times New Roman" w:hAnsi="Times New Roman"/>
                <w:i/>
                <w:sz w:val="24"/>
                <w:szCs w:val="24"/>
                <w:lang w:eastAsia="cs-CZ"/>
              </w:rPr>
            </w:pPr>
            <w:r w:rsidRPr="00702991">
              <w:rPr>
                <w:rFonts w:ascii="Times New Roman" w:hAnsi="Times New Roman"/>
                <w:i/>
                <w:sz w:val="24"/>
                <w:szCs w:val="24"/>
                <w:lang w:eastAsia="cs-CZ"/>
              </w:rPr>
              <w:t>Audit systému</w:t>
            </w:r>
          </w:p>
        </w:tc>
      </w:tr>
      <w:tr w:rsidR="00F27B03" w:rsidRPr="00702991" w:rsidTr="00702991">
        <w:trPr>
          <w:jc w:val="center"/>
        </w:trPr>
        <w:tc>
          <w:tcPr>
            <w:tcW w:w="1217" w:type="dxa"/>
            <w:tcBorders>
              <w:top w:val="single" w:sz="12" w:space="0" w:color="auto"/>
              <w:left w:val="single" w:sz="12" w:space="0" w:color="auto"/>
              <w:bottom w:val="single" w:sz="2" w:space="0" w:color="auto"/>
              <w:right w:val="single" w:sz="2" w:space="0" w:color="auto"/>
            </w:tcBorders>
            <w:vAlign w:val="center"/>
          </w:tcPr>
          <w:p w:rsidR="00F27B03" w:rsidRPr="00702991" w:rsidRDefault="00F27B03" w:rsidP="00702991">
            <w:pPr>
              <w:spacing w:after="0"/>
              <w:rPr>
                <w:rFonts w:ascii="Times New Roman" w:hAnsi="Times New Roman"/>
                <w:sz w:val="24"/>
                <w:szCs w:val="24"/>
                <w:lang w:eastAsia="cs-CZ"/>
              </w:rPr>
            </w:pPr>
            <w:r w:rsidRPr="00702991">
              <w:rPr>
                <w:rFonts w:ascii="Times New Roman" w:hAnsi="Times New Roman"/>
                <w:sz w:val="24"/>
                <w:szCs w:val="24"/>
                <w:lang w:eastAsia="cs-CZ"/>
              </w:rPr>
              <w:t>Bavorsko</w:t>
            </w:r>
          </w:p>
        </w:tc>
        <w:tc>
          <w:tcPr>
            <w:tcW w:w="2269" w:type="dxa"/>
            <w:tcBorders>
              <w:top w:val="single" w:sz="12" w:space="0" w:color="auto"/>
              <w:left w:val="single" w:sz="2" w:space="0" w:color="auto"/>
              <w:bottom w:val="single" w:sz="2" w:space="0" w:color="auto"/>
              <w:right w:val="single" w:sz="2" w:space="0" w:color="auto"/>
            </w:tcBorders>
            <w:vAlign w:val="center"/>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8</w:t>
            </w:r>
          </w:p>
        </w:tc>
        <w:tc>
          <w:tcPr>
            <w:tcW w:w="2616" w:type="dxa"/>
            <w:tcBorders>
              <w:top w:val="single" w:sz="12" w:space="0" w:color="auto"/>
              <w:left w:val="single" w:sz="2" w:space="0" w:color="auto"/>
              <w:bottom w:val="single" w:sz="2" w:space="0" w:color="auto"/>
              <w:right w:val="single" w:sz="12" w:space="0" w:color="auto"/>
            </w:tcBorders>
            <w:vAlign w:val="center"/>
          </w:tcPr>
          <w:p w:rsidR="00F27B03" w:rsidRPr="00702991" w:rsidRDefault="00F27B03" w:rsidP="00702991">
            <w:pPr>
              <w:spacing w:after="0"/>
              <w:jc w:val="right"/>
              <w:rPr>
                <w:rFonts w:ascii="Times New Roman" w:hAnsi="Times New Roman"/>
                <w:sz w:val="24"/>
                <w:szCs w:val="24"/>
                <w:lang w:eastAsia="cs-CZ"/>
              </w:rPr>
            </w:pPr>
            <w:r w:rsidRPr="00702991">
              <w:rPr>
                <w:rFonts w:ascii="Times New Roman" w:hAnsi="Times New Roman"/>
                <w:sz w:val="24"/>
                <w:szCs w:val="24"/>
                <w:lang w:eastAsia="cs-CZ"/>
              </w:rPr>
              <w:t>2 436 975,90 EUR</w:t>
            </w:r>
          </w:p>
        </w:tc>
        <w:tc>
          <w:tcPr>
            <w:tcW w:w="1720" w:type="dxa"/>
            <w:tcBorders>
              <w:top w:val="single" w:sz="12" w:space="0" w:color="auto"/>
              <w:left w:val="single" w:sz="2" w:space="0" w:color="auto"/>
              <w:bottom w:val="single" w:sz="2" w:space="0" w:color="auto"/>
              <w:right w:val="single" w:sz="12" w:space="0" w:color="auto"/>
            </w:tcBorders>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w:t>
            </w:r>
          </w:p>
        </w:tc>
      </w:tr>
      <w:tr w:rsidR="00F27B03" w:rsidRPr="00702991" w:rsidTr="00702991">
        <w:trPr>
          <w:jc w:val="center"/>
        </w:trPr>
        <w:tc>
          <w:tcPr>
            <w:tcW w:w="1217" w:type="dxa"/>
            <w:tcBorders>
              <w:top w:val="single" w:sz="2" w:space="0" w:color="auto"/>
              <w:left w:val="single" w:sz="12" w:space="0" w:color="auto"/>
              <w:bottom w:val="single" w:sz="2" w:space="0" w:color="auto"/>
              <w:right w:val="single" w:sz="2" w:space="0" w:color="auto"/>
            </w:tcBorders>
            <w:vAlign w:val="center"/>
          </w:tcPr>
          <w:p w:rsidR="00F27B03" w:rsidRPr="00702991" w:rsidRDefault="00F27B03" w:rsidP="00702991">
            <w:pPr>
              <w:spacing w:after="0"/>
              <w:rPr>
                <w:rFonts w:ascii="Times New Roman" w:hAnsi="Times New Roman"/>
                <w:sz w:val="24"/>
                <w:szCs w:val="24"/>
                <w:lang w:eastAsia="cs-CZ"/>
              </w:rPr>
            </w:pPr>
            <w:r w:rsidRPr="00702991">
              <w:rPr>
                <w:rFonts w:ascii="Times New Roman" w:hAnsi="Times New Roman"/>
                <w:sz w:val="24"/>
                <w:szCs w:val="24"/>
                <w:lang w:eastAsia="cs-CZ"/>
              </w:rPr>
              <w:t>Rakousko</w:t>
            </w:r>
          </w:p>
        </w:tc>
        <w:tc>
          <w:tcPr>
            <w:tcW w:w="2269" w:type="dxa"/>
            <w:tcBorders>
              <w:top w:val="single" w:sz="2" w:space="0" w:color="auto"/>
              <w:left w:val="single" w:sz="2" w:space="0" w:color="auto"/>
              <w:bottom w:val="single" w:sz="2" w:space="0" w:color="auto"/>
              <w:right w:val="single" w:sz="2" w:space="0" w:color="auto"/>
            </w:tcBorders>
            <w:vAlign w:val="center"/>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13</w:t>
            </w:r>
          </w:p>
        </w:tc>
        <w:tc>
          <w:tcPr>
            <w:tcW w:w="2616" w:type="dxa"/>
            <w:tcBorders>
              <w:top w:val="single" w:sz="2" w:space="0" w:color="auto"/>
              <w:left w:val="single" w:sz="2" w:space="0" w:color="auto"/>
              <w:bottom w:val="single" w:sz="2" w:space="0" w:color="auto"/>
              <w:right w:val="single" w:sz="12" w:space="0" w:color="auto"/>
            </w:tcBorders>
            <w:vAlign w:val="center"/>
          </w:tcPr>
          <w:p w:rsidR="00F27B03" w:rsidRPr="00702991" w:rsidRDefault="00F27B03" w:rsidP="00702991">
            <w:pPr>
              <w:spacing w:after="0"/>
              <w:jc w:val="right"/>
              <w:rPr>
                <w:rFonts w:ascii="Times New Roman" w:hAnsi="Times New Roman"/>
                <w:sz w:val="24"/>
                <w:szCs w:val="24"/>
                <w:lang w:eastAsia="cs-CZ"/>
              </w:rPr>
            </w:pPr>
            <w:r w:rsidRPr="00702991">
              <w:rPr>
                <w:rFonts w:ascii="Times New Roman" w:hAnsi="Times New Roman"/>
                <w:sz w:val="24"/>
                <w:szCs w:val="24"/>
                <w:lang w:eastAsia="cs-CZ"/>
              </w:rPr>
              <w:t>3 737 729,63 EUR</w:t>
            </w:r>
          </w:p>
        </w:tc>
        <w:tc>
          <w:tcPr>
            <w:tcW w:w="1720" w:type="dxa"/>
            <w:tcBorders>
              <w:top w:val="single" w:sz="2" w:space="0" w:color="auto"/>
              <w:left w:val="single" w:sz="2" w:space="0" w:color="auto"/>
              <w:bottom w:val="single" w:sz="2" w:space="0" w:color="auto"/>
              <w:right w:val="single" w:sz="12" w:space="0" w:color="auto"/>
            </w:tcBorders>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w:t>
            </w:r>
          </w:p>
        </w:tc>
      </w:tr>
      <w:tr w:rsidR="00F27B03" w:rsidRPr="00702991" w:rsidTr="00702991">
        <w:trPr>
          <w:jc w:val="center"/>
        </w:trPr>
        <w:tc>
          <w:tcPr>
            <w:tcW w:w="1217" w:type="dxa"/>
            <w:tcBorders>
              <w:top w:val="single" w:sz="2" w:space="0" w:color="auto"/>
              <w:left w:val="single" w:sz="12" w:space="0" w:color="auto"/>
              <w:bottom w:val="single" w:sz="2" w:space="0" w:color="auto"/>
              <w:right w:val="single" w:sz="2" w:space="0" w:color="auto"/>
            </w:tcBorders>
            <w:vAlign w:val="center"/>
          </w:tcPr>
          <w:p w:rsidR="00F27B03" w:rsidRPr="00702991" w:rsidRDefault="00F27B03" w:rsidP="00702991">
            <w:pPr>
              <w:spacing w:after="0"/>
              <w:rPr>
                <w:rFonts w:ascii="Times New Roman" w:hAnsi="Times New Roman"/>
                <w:sz w:val="24"/>
                <w:szCs w:val="24"/>
                <w:lang w:eastAsia="cs-CZ"/>
              </w:rPr>
            </w:pPr>
            <w:r w:rsidRPr="00702991">
              <w:rPr>
                <w:rFonts w:ascii="Times New Roman" w:hAnsi="Times New Roman"/>
                <w:sz w:val="24"/>
                <w:szCs w:val="24"/>
                <w:lang w:eastAsia="cs-CZ"/>
              </w:rPr>
              <w:t>Sasko</w:t>
            </w:r>
          </w:p>
        </w:tc>
        <w:tc>
          <w:tcPr>
            <w:tcW w:w="2269" w:type="dxa"/>
            <w:tcBorders>
              <w:top w:val="single" w:sz="2" w:space="0" w:color="auto"/>
              <w:left w:val="single" w:sz="2" w:space="0" w:color="auto"/>
              <w:bottom w:val="single" w:sz="2" w:space="0" w:color="auto"/>
              <w:right w:val="single" w:sz="2" w:space="0" w:color="auto"/>
            </w:tcBorders>
            <w:vAlign w:val="center"/>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15</w:t>
            </w:r>
          </w:p>
        </w:tc>
        <w:tc>
          <w:tcPr>
            <w:tcW w:w="2616" w:type="dxa"/>
            <w:tcBorders>
              <w:top w:val="single" w:sz="2" w:space="0" w:color="auto"/>
              <w:left w:val="single" w:sz="2" w:space="0" w:color="auto"/>
              <w:bottom w:val="single" w:sz="2" w:space="0" w:color="auto"/>
              <w:right w:val="single" w:sz="12" w:space="0" w:color="auto"/>
            </w:tcBorders>
            <w:vAlign w:val="center"/>
          </w:tcPr>
          <w:p w:rsidR="00F27B03" w:rsidRPr="00702991" w:rsidRDefault="00F27B03" w:rsidP="00702991">
            <w:pPr>
              <w:spacing w:after="0"/>
              <w:jc w:val="right"/>
              <w:rPr>
                <w:rFonts w:ascii="Times New Roman" w:hAnsi="Times New Roman"/>
                <w:sz w:val="24"/>
                <w:szCs w:val="24"/>
                <w:lang w:eastAsia="cs-CZ"/>
              </w:rPr>
            </w:pPr>
            <w:r w:rsidRPr="00702991">
              <w:rPr>
                <w:rFonts w:ascii="Times New Roman" w:hAnsi="Times New Roman"/>
                <w:sz w:val="24"/>
                <w:szCs w:val="24"/>
                <w:lang w:eastAsia="cs-CZ"/>
              </w:rPr>
              <w:t>5 182 186,84 EUR</w:t>
            </w:r>
          </w:p>
        </w:tc>
        <w:tc>
          <w:tcPr>
            <w:tcW w:w="1720" w:type="dxa"/>
            <w:tcBorders>
              <w:top w:val="single" w:sz="2" w:space="0" w:color="auto"/>
              <w:left w:val="single" w:sz="2" w:space="0" w:color="auto"/>
              <w:bottom w:val="single" w:sz="2" w:space="0" w:color="auto"/>
              <w:right w:val="single" w:sz="12" w:space="0" w:color="auto"/>
            </w:tcBorders>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w:t>
            </w:r>
          </w:p>
        </w:tc>
      </w:tr>
      <w:tr w:rsidR="00F27B03" w:rsidRPr="00702991" w:rsidTr="00702991">
        <w:trPr>
          <w:jc w:val="center"/>
        </w:trPr>
        <w:tc>
          <w:tcPr>
            <w:tcW w:w="1217" w:type="dxa"/>
            <w:tcBorders>
              <w:top w:val="single" w:sz="2" w:space="0" w:color="auto"/>
              <w:left w:val="single" w:sz="12" w:space="0" w:color="auto"/>
              <w:bottom w:val="single" w:sz="12" w:space="0" w:color="auto"/>
              <w:right w:val="single" w:sz="2" w:space="0" w:color="auto"/>
            </w:tcBorders>
            <w:vAlign w:val="center"/>
          </w:tcPr>
          <w:p w:rsidR="00F27B03" w:rsidRPr="00702991" w:rsidRDefault="00F27B03" w:rsidP="00702991">
            <w:pPr>
              <w:spacing w:after="0"/>
              <w:rPr>
                <w:rFonts w:ascii="Times New Roman" w:hAnsi="Times New Roman"/>
                <w:sz w:val="24"/>
                <w:szCs w:val="24"/>
                <w:lang w:eastAsia="cs-CZ"/>
              </w:rPr>
            </w:pPr>
            <w:r w:rsidRPr="00702991">
              <w:rPr>
                <w:rFonts w:ascii="Times New Roman" w:hAnsi="Times New Roman"/>
                <w:sz w:val="24"/>
                <w:szCs w:val="24"/>
                <w:lang w:eastAsia="cs-CZ"/>
              </w:rPr>
              <w:t>Slovensko</w:t>
            </w:r>
          </w:p>
        </w:tc>
        <w:tc>
          <w:tcPr>
            <w:tcW w:w="2269" w:type="dxa"/>
            <w:tcBorders>
              <w:top w:val="single" w:sz="2" w:space="0" w:color="auto"/>
              <w:left w:val="single" w:sz="2" w:space="0" w:color="auto"/>
              <w:bottom w:val="single" w:sz="12" w:space="0" w:color="auto"/>
              <w:right w:val="single" w:sz="2" w:space="0" w:color="auto"/>
            </w:tcBorders>
            <w:vAlign w:val="center"/>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12</w:t>
            </w:r>
          </w:p>
        </w:tc>
        <w:tc>
          <w:tcPr>
            <w:tcW w:w="2616" w:type="dxa"/>
            <w:tcBorders>
              <w:top w:val="single" w:sz="2" w:space="0" w:color="auto"/>
              <w:left w:val="single" w:sz="2" w:space="0" w:color="auto"/>
              <w:bottom w:val="single" w:sz="12" w:space="0" w:color="auto"/>
              <w:right w:val="single" w:sz="12" w:space="0" w:color="auto"/>
            </w:tcBorders>
            <w:vAlign w:val="center"/>
          </w:tcPr>
          <w:p w:rsidR="00F27B03" w:rsidRPr="00702991" w:rsidRDefault="00F27B03" w:rsidP="00702991">
            <w:pPr>
              <w:spacing w:after="0"/>
              <w:jc w:val="right"/>
              <w:rPr>
                <w:rFonts w:ascii="Times New Roman" w:hAnsi="Times New Roman"/>
                <w:sz w:val="24"/>
                <w:szCs w:val="24"/>
                <w:lang w:eastAsia="cs-CZ"/>
              </w:rPr>
            </w:pPr>
            <w:r w:rsidRPr="00702991">
              <w:rPr>
                <w:rFonts w:ascii="Times New Roman" w:hAnsi="Times New Roman"/>
                <w:sz w:val="24"/>
                <w:szCs w:val="24"/>
                <w:lang w:eastAsia="cs-CZ"/>
              </w:rPr>
              <w:t>4 216 824,29 EUR</w:t>
            </w:r>
          </w:p>
        </w:tc>
        <w:tc>
          <w:tcPr>
            <w:tcW w:w="1720" w:type="dxa"/>
            <w:tcBorders>
              <w:top w:val="single" w:sz="2" w:space="0" w:color="auto"/>
              <w:left w:val="single" w:sz="2" w:space="0" w:color="auto"/>
              <w:bottom w:val="single" w:sz="12" w:space="0" w:color="auto"/>
              <w:right w:val="single" w:sz="12" w:space="0" w:color="auto"/>
            </w:tcBorders>
          </w:tcPr>
          <w:p w:rsidR="00F27B03" w:rsidRPr="00702991" w:rsidRDefault="00F27B03" w:rsidP="00702991">
            <w:pPr>
              <w:spacing w:after="0"/>
              <w:jc w:val="center"/>
              <w:rPr>
                <w:rFonts w:ascii="Times New Roman" w:hAnsi="Times New Roman"/>
                <w:sz w:val="24"/>
                <w:szCs w:val="24"/>
                <w:lang w:eastAsia="cs-CZ"/>
              </w:rPr>
            </w:pPr>
            <w:r w:rsidRPr="00702991">
              <w:rPr>
                <w:rFonts w:ascii="Times New Roman" w:hAnsi="Times New Roman"/>
                <w:sz w:val="24"/>
                <w:szCs w:val="24"/>
                <w:lang w:eastAsia="cs-CZ"/>
              </w:rPr>
              <w:t>1</w:t>
            </w:r>
          </w:p>
        </w:tc>
      </w:tr>
      <w:tr w:rsidR="00F27B03" w:rsidRPr="00702991" w:rsidTr="00702991">
        <w:trPr>
          <w:jc w:val="center"/>
        </w:trPr>
        <w:tc>
          <w:tcPr>
            <w:tcW w:w="1217" w:type="dxa"/>
            <w:tcBorders>
              <w:top w:val="single" w:sz="12" w:space="0" w:color="auto"/>
            </w:tcBorders>
            <w:vAlign w:val="center"/>
          </w:tcPr>
          <w:p w:rsidR="00F27B03" w:rsidRPr="00702991" w:rsidRDefault="00F27B03" w:rsidP="00702991">
            <w:pPr>
              <w:spacing w:after="0"/>
              <w:rPr>
                <w:rFonts w:ascii="Times New Roman" w:hAnsi="Times New Roman"/>
                <w:i/>
                <w:sz w:val="24"/>
                <w:szCs w:val="24"/>
                <w:lang w:eastAsia="cs-CZ"/>
              </w:rPr>
            </w:pPr>
            <w:r w:rsidRPr="00702991">
              <w:rPr>
                <w:rFonts w:ascii="Times New Roman" w:hAnsi="Times New Roman"/>
                <w:i/>
                <w:sz w:val="24"/>
                <w:szCs w:val="24"/>
                <w:lang w:eastAsia="cs-CZ"/>
              </w:rPr>
              <w:t>Celkem</w:t>
            </w:r>
          </w:p>
        </w:tc>
        <w:tc>
          <w:tcPr>
            <w:tcW w:w="2269" w:type="dxa"/>
            <w:tcBorders>
              <w:top w:val="single" w:sz="12" w:space="0" w:color="auto"/>
            </w:tcBorders>
            <w:vAlign w:val="center"/>
          </w:tcPr>
          <w:p w:rsidR="00F27B03" w:rsidRPr="00702991" w:rsidRDefault="00F27B03" w:rsidP="00702991">
            <w:pPr>
              <w:spacing w:after="0"/>
              <w:jc w:val="center"/>
              <w:rPr>
                <w:rFonts w:ascii="Times New Roman" w:hAnsi="Times New Roman"/>
                <w:i/>
                <w:sz w:val="24"/>
                <w:szCs w:val="24"/>
                <w:lang w:eastAsia="cs-CZ"/>
              </w:rPr>
            </w:pPr>
            <w:r w:rsidRPr="00702991">
              <w:rPr>
                <w:rFonts w:ascii="Times New Roman" w:hAnsi="Times New Roman"/>
                <w:i/>
                <w:sz w:val="24"/>
                <w:szCs w:val="24"/>
                <w:lang w:eastAsia="cs-CZ"/>
              </w:rPr>
              <w:t>48</w:t>
            </w:r>
          </w:p>
        </w:tc>
        <w:tc>
          <w:tcPr>
            <w:tcW w:w="2616" w:type="dxa"/>
            <w:tcBorders>
              <w:top w:val="single" w:sz="12" w:space="0" w:color="auto"/>
            </w:tcBorders>
            <w:vAlign w:val="center"/>
          </w:tcPr>
          <w:p w:rsidR="00F27B03" w:rsidRPr="00702991" w:rsidRDefault="00F27B03" w:rsidP="00702991">
            <w:pPr>
              <w:spacing w:after="0"/>
              <w:jc w:val="right"/>
              <w:rPr>
                <w:rFonts w:ascii="Times New Roman" w:hAnsi="Times New Roman"/>
                <w:i/>
                <w:sz w:val="24"/>
                <w:szCs w:val="24"/>
                <w:lang w:eastAsia="cs-CZ"/>
              </w:rPr>
            </w:pPr>
            <w:r w:rsidRPr="00702991">
              <w:rPr>
                <w:rFonts w:ascii="Times New Roman" w:hAnsi="Times New Roman"/>
                <w:i/>
                <w:sz w:val="24"/>
                <w:szCs w:val="24"/>
                <w:lang w:eastAsia="cs-CZ"/>
              </w:rPr>
              <w:t xml:space="preserve">15 563 868,75 </w:t>
            </w:r>
            <w:r w:rsidRPr="00702991">
              <w:rPr>
                <w:rFonts w:ascii="Times New Roman" w:hAnsi="Times New Roman"/>
                <w:sz w:val="24"/>
                <w:szCs w:val="24"/>
                <w:lang w:eastAsia="cs-CZ"/>
              </w:rPr>
              <w:t>EUR</w:t>
            </w:r>
          </w:p>
        </w:tc>
        <w:tc>
          <w:tcPr>
            <w:tcW w:w="1720" w:type="dxa"/>
            <w:tcBorders>
              <w:top w:val="single" w:sz="12" w:space="0" w:color="auto"/>
            </w:tcBorders>
          </w:tcPr>
          <w:p w:rsidR="00F27B03" w:rsidRPr="00702991" w:rsidRDefault="00F27B03" w:rsidP="00702991">
            <w:pPr>
              <w:spacing w:after="0"/>
              <w:jc w:val="center"/>
              <w:rPr>
                <w:rFonts w:ascii="Times New Roman" w:hAnsi="Times New Roman"/>
                <w:i/>
                <w:sz w:val="24"/>
                <w:szCs w:val="24"/>
                <w:lang w:eastAsia="cs-CZ"/>
              </w:rPr>
            </w:pPr>
            <w:r w:rsidRPr="00702991">
              <w:rPr>
                <w:rFonts w:ascii="Times New Roman" w:hAnsi="Times New Roman"/>
                <w:i/>
                <w:sz w:val="24"/>
                <w:szCs w:val="24"/>
                <w:lang w:eastAsia="cs-CZ"/>
              </w:rPr>
              <w:t>1</w:t>
            </w:r>
          </w:p>
        </w:tc>
      </w:tr>
    </w:tbl>
    <w:p w:rsidR="00F27B03" w:rsidRPr="006F67E8" w:rsidRDefault="00F27B03" w:rsidP="00A821C2">
      <w:pPr>
        <w:spacing w:before="120"/>
        <w:rPr>
          <w:rFonts w:ascii="Times New Roman" w:hAnsi="Times New Roman"/>
          <w:sz w:val="24"/>
          <w:szCs w:val="24"/>
          <w:lang w:eastAsia="cs-CZ"/>
        </w:rPr>
      </w:pPr>
      <w:r w:rsidRPr="006F67E8">
        <w:rPr>
          <w:rFonts w:ascii="Times New Roman" w:hAnsi="Times New Roman"/>
          <w:sz w:val="24"/>
          <w:szCs w:val="24"/>
          <w:lang w:eastAsia="cs-CZ"/>
        </w:rPr>
        <w:t xml:space="preserve">  </w:t>
      </w: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Operační programy Evro</w:t>
      </w:r>
      <w:r>
        <w:rPr>
          <w:rFonts w:ascii="Times New Roman" w:hAnsi="Times New Roman"/>
          <w:b/>
          <w:sz w:val="24"/>
          <w:szCs w:val="24"/>
          <w:lang w:eastAsia="cs-CZ"/>
        </w:rPr>
        <w:t>pského sociálního fondu („ESF“)</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roce 2014 došlo k mírnému poklesu auditní činnosti Auditní orgán u programů financovaných z Evropského sociálního fondu, tj. Operačního programu Lidské zdroje a</w:t>
      </w:r>
      <w:r>
        <w:rPr>
          <w:rFonts w:ascii="Times New Roman" w:hAnsi="Times New Roman"/>
          <w:sz w:val="24"/>
          <w:szCs w:val="24"/>
          <w:lang w:eastAsia="cs-CZ"/>
        </w:rPr>
        <w:t> </w:t>
      </w:r>
      <w:r w:rsidRPr="006F67E8">
        <w:rPr>
          <w:rFonts w:ascii="Times New Roman" w:hAnsi="Times New Roman"/>
          <w:sz w:val="24"/>
          <w:szCs w:val="24"/>
          <w:lang w:eastAsia="cs-CZ"/>
        </w:rPr>
        <w:t>zaměstnanost (OP LZZ), Operačního programu Vzdělávání pro konkurenceschopnost (OP VK) a Operačního programu Praha - Adaptabilita (OP PA). Celkově bylo provedeno 169 auditů operací (o 7 auditů méně než v roce 2013). Audity systému byly prováděny v rámci každého operačního programu.</w:t>
      </w:r>
    </w:p>
    <w:p w:rsidR="00F27B03" w:rsidRPr="006F67E8" w:rsidRDefault="00F27B03" w:rsidP="009761CF">
      <w:pPr>
        <w:spacing w:after="0"/>
        <w:ind w:firstLine="708"/>
        <w:rPr>
          <w:rFonts w:ascii="Times New Roman" w:hAnsi="Times New Roman"/>
          <w:sz w:val="24"/>
          <w:szCs w:val="24"/>
          <w:lang w:eastAsia="cs-CZ"/>
        </w:rPr>
      </w:pPr>
    </w:p>
    <w:p w:rsidR="00F27B03" w:rsidRPr="006F67E8" w:rsidRDefault="008A6425" w:rsidP="009761CF">
      <w:pPr>
        <w:spacing w:after="0"/>
        <w:rPr>
          <w:rFonts w:ascii="Times New Roman" w:hAnsi="Times New Roman"/>
          <w:sz w:val="24"/>
          <w:szCs w:val="24"/>
          <w:lang w:eastAsia="cs-CZ"/>
        </w:rPr>
      </w:pPr>
      <w:r>
        <w:rPr>
          <w:rFonts w:ascii="Times New Roman" w:hAnsi="Times New Roman"/>
          <w:noProof/>
          <w:sz w:val="24"/>
          <w:szCs w:val="24"/>
          <w:lang w:eastAsia="cs-CZ"/>
        </w:rPr>
        <w:lastRenderedPageBreak/>
        <w:drawing>
          <wp:inline distT="0" distB="0" distL="0" distR="0">
            <wp:extent cx="5763895" cy="2789555"/>
            <wp:effectExtent l="0" t="0" r="27305" b="10795"/>
            <wp:docPr id="9"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Výsledky jednotlivých auditů za tyto operační programy byly shrnuty v rámci příslušných výročních kontrolních zpráv předaných Evropské komisi v prosinci 2014, včetně stanoviska k fungování příslušného řídícího a kontrolního systému. </w:t>
      </w:r>
    </w:p>
    <w:p w:rsidR="00F27B03" w:rsidRPr="006F67E8" w:rsidRDefault="00F27B03" w:rsidP="009761CF">
      <w:pPr>
        <w:shd w:val="clear" w:color="auto" w:fill="FFFFFF"/>
        <w:spacing w:after="0" w:line="240" w:lineRule="auto"/>
        <w:rPr>
          <w:rFonts w:ascii="Times New Roman" w:hAnsi="Times New Roman"/>
          <w:b/>
          <w:bCs/>
          <w:sz w:val="24"/>
          <w:szCs w:val="24"/>
          <w:lang w:eastAsia="cs-CZ"/>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3"/>
        <w:gridCol w:w="4394"/>
        <w:gridCol w:w="1843"/>
        <w:gridCol w:w="2126"/>
      </w:tblGrid>
      <w:tr w:rsidR="00F27B03" w:rsidRPr="00702991" w:rsidTr="00F863FC">
        <w:trPr>
          <w:trHeight w:val="648"/>
        </w:trPr>
        <w:tc>
          <w:tcPr>
            <w:tcW w:w="723" w:type="dxa"/>
            <w:shd w:val="clear" w:color="auto" w:fill="FFFFFF"/>
            <w:tcMar>
              <w:top w:w="14" w:type="dxa"/>
              <w:left w:w="14" w:type="dxa"/>
              <w:bottom w:w="0" w:type="dxa"/>
              <w:right w:w="14" w:type="dxa"/>
            </w:tcMar>
            <w:vAlign w:val="center"/>
          </w:tcPr>
          <w:p w:rsidR="00F27B03" w:rsidRPr="006F67E8" w:rsidRDefault="00F27B03" w:rsidP="00F863FC">
            <w:pPr>
              <w:spacing w:line="240" w:lineRule="auto"/>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Fond</w:t>
            </w:r>
          </w:p>
        </w:tc>
        <w:tc>
          <w:tcPr>
            <w:tcW w:w="4394" w:type="dxa"/>
            <w:shd w:val="clear" w:color="auto" w:fill="FFFFFF"/>
            <w:tcMar>
              <w:top w:w="14" w:type="dxa"/>
              <w:left w:w="14" w:type="dxa"/>
              <w:bottom w:w="0" w:type="dxa"/>
              <w:right w:w="14" w:type="dxa"/>
            </w:tcMar>
            <w:vAlign w:val="center"/>
          </w:tcPr>
          <w:p w:rsidR="00F27B03" w:rsidRPr="006F67E8" w:rsidRDefault="00F27B03" w:rsidP="00F863FC">
            <w:pPr>
              <w:spacing w:line="240" w:lineRule="auto"/>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Operační program</w:t>
            </w:r>
          </w:p>
        </w:tc>
        <w:tc>
          <w:tcPr>
            <w:tcW w:w="1843" w:type="dxa"/>
            <w:shd w:val="clear" w:color="auto" w:fill="FFFFFF"/>
            <w:tcMar>
              <w:top w:w="14" w:type="dxa"/>
              <w:left w:w="14" w:type="dxa"/>
              <w:bottom w:w="0" w:type="dxa"/>
              <w:right w:w="14" w:type="dxa"/>
            </w:tcMar>
            <w:vAlign w:val="center"/>
          </w:tcPr>
          <w:p w:rsidR="00F27B03" w:rsidRPr="006F67E8" w:rsidRDefault="00F27B03" w:rsidP="00F863FC">
            <w:pPr>
              <w:spacing w:line="240" w:lineRule="auto"/>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Stanovisko</w:t>
            </w:r>
          </w:p>
        </w:tc>
        <w:tc>
          <w:tcPr>
            <w:tcW w:w="2126" w:type="dxa"/>
            <w:shd w:val="clear" w:color="auto" w:fill="FFFFFF"/>
            <w:tcMar>
              <w:top w:w="14" w:type="dxa"/>
              <w:left w:w="14" w:type="dxa"/>
              <w:bottom w:w="0" w:type="dxa"/>
              <w:right w:w="14" w:type="dxa"/>
            </w:tcMar>
            <w:vAlign w:val="center"/>
          </w:tcPr>
          <w:p w:rsidR="00F27B03" w:rsidRPr="006F67E8" w:rsidRDefault="00F27B03" w:rsidP="00F863FC">
            <w:pPr>
              <w:spacing w:line="240" w:lineRule="auto"/>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Extrapolovaná chybovost 2014</w:t>
            </w:r>
          </w:p>
        </w:tc>
      </w:tr>
      <w:tr w:rsidR="00F27B03" w:rsidRPr="00702991" w:rsidTr="00F863FC">
        <w:trPr>
          <w:trHeight w:val="399"/>
        </w:trPr>
        <w:tc>
          <w:tcPr>
            <w:tcW w:w="723"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ESF</w:t>
            </w:r>
          </w:p>
        </w:tc>
        <w:tc>
          <w:tcPr>
            <w:tcW w:w="4394"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OP Praha - Adaptabilita</w:t>
            </w:r>
          </w:p>
        </w:tc>
        <w:tc>
          <w:tcPr>
            <w:tcW w:w="1843"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Bez výhrad</w:t>
            </w:r>
          </w:p>
        </w:tc>
        <w:tc>
          <w:tcPr>
            <w:tcW w:w="2126"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1,60 %</w:t>
            </w:r>
          </w:p>
        </w:tc>
      </w:tr>
      <w:tr w:rsidR="00F27B03" w:rsidRPr="00702991" w:rsidTr="00F863FC">
        <w:trPr>
          <w:trHeight w:val="412"/>
        </w:trPr>
        <w:tc>
          <w:tcPr>
            <w:tcW w:w="723"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ESF</w:t>
            </w:r>
          </w:p>
        </w:tc>
        <w:tc>
          <w:tcPr>
            <w:tcW w:w="4394"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OP Lidské zdroje a zaměstnanost</w:t>
            </w:r>
          </w:p>
        </w:tc>
        <w:tc>
          <w:tcPr>
            <w:tcW w:w="1843"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Bez výhrad</w:t>
            </w:r>
          </w:p>
        </w:tc>
        <w:tc>
          <w:tcPr>
            <w:tcW w:w="2126"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0,81 %</w:t>
            </w:r>
          </w:p>
        </w:tc>
      </w:tr>
      <w:tr w:rsidR="00F27B03" w:rsidRPr="00702991" w:rsidTr="00F863FC">
        <w:trPr>
          <w:trHeight w:val="444"/>
        </w:trPr>
        <w:tc>
          <w:tcPr>
            <w:tcW w:w="723"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ESF</w:t>
            </w:r>
          </w:p>
        </w:tc>
        <w:tc>
          <w:tcPr>
            <w:tcW w:w="4394"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OP Vzdělávání pro konkurenceschopnost</w:t>
            </w:r>
          </w:p>
        </w:tc>
        <w:tc>
          <w:tcPr>
            <w:tcW w:w="1843"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126"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3,05 %</w:t>
            </w:r>
          </w:p>
        </w:tc>
      </w:tr>
    </w:tbl>
    <w:p w:rsidR="00F27B03" w:rsidRDefault="00F27B03" w:rsidP="00A821C2">
      <w:pPr>
        <w:spacing w:before="120"/>
        <w:rPr>
          <w:rFonts w:ascii="Times New Roman" w:hAnsi="Times New Roman"/>
          <w:b/>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 xml:space="preserve">Operační program Lidské </w:t>
      </w:r>
      <w:r>
        <w:rPr>
          <w:rFonts w:ascii="Times New Roman" w:hAnsi="Times New Roman"/>
          <w:b/>
          <w:sz w:val="24"/>
          <w:szCs w:val="24"/>
          <w:lang w:eastAsia="cs-CZ"/>
        </w:rPr>
        <w:t>zdroje a zaměstnanost („OPLZZ“)</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provedené auditní činnost</w:t>
      </w:r>
      <w:r>
        <w:rPr>
          <w:rFonts w:ascii="Times New Roman" w:hAnsi="Times New Roman"/>
          <w:sz w:val="24"/>
          <w:szCs w:val="24"/>
          <w:lang w:eastAsia="cs-CZ"/>
        </w:rPr>
        <w:t>i</w:t>
      </w:r>
      <w:r w:rsidRPr="006F67E8">
        <w:rPr>
          <w:rFonts w:ascii="Times New Roman" w:hAnsi="Times New Roman"/>
          <w:sz w:val="24"/>
          <w:szCs w:val="24"/>
          <w:lang w:eastAsia="cs-CZ"/>
        </w:rPr>
        <w:t xml:space="preserve"> byl vydán výrok bez výhrad, řídící a kontrolní systémy zřízené pro účely Operačního programu Lidské zdroje a zaměstnanosti byly v</w:t>
      </w:r>
      <w:r>
        <w:rPr>
          <w:rFonts w:ascii="Times New Roman" w:hAnsi="Times New Roman"/>
          <w:sz w:val="24"/>
          <w:szCs w:val="24"/>
          <w:lang w:eastAsia="cs-CZ"/>
        </w:rPr>
        <w:t> </w:t>
      </w:r>
      <w:r w:rsidRPr="006F67E8">
        <w:rPr>
          <w:rFonts w:ascii="Times New Roman" w:hAnsi="Times New Roman"/>
          <w:sz w:val="24"/>
          <w:szCs w:val="24"/>
          <w:lang w:eastAsia="cs-CZ"/>
        </w:rPr>
        <w:t xml:space="preserve">souladu s platnými požadavky článků 58 až 62 nařízení Rady (ES) č. 1083/2006 a oddílu 3 nařízení Komise (ES) č. 1828/2006 a fungovaly účinně a poskytly tak přiměřenou jistotu, že výkazy výdajů předložené Komisi byly správné a související transakce byly legální a řádné.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identifikovaly vyšší chybovost než je přípustná (vyšší než 2 %). Z auditů operací vyplývá za dané období projektovaná chybovost ve výši 0,81 % (po provedené validaci ze strany EK).</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celkový řídící a kontrolní systém OP LZZ klasifikován v kategorii 2 – systém funguje, ale jsou zapotřebí určitá zlepšení.</w:t>
      </w:r>
    </w:p>
    <w:p w:rsidR="00F27B03" w:rsidRPr="006F67E8" w:rsidRDefault="00F27B03" w:rsidP="009761CF">
      <w:pPr>
        <w:spacing w:after="0"/>
        <w:rPr>
          <w:rFonts w:ascii="Times New Roman" w:hAnsi="Times New Roman"/>
          <w:sz w:val="24"/>
          <w:szCs w:val="24"/>
          <w:lang w:eastAsia="cs-CZ"/>
        </w:rPr>
      </w:pPr>
      <w:r w:rsidRPr="006F67E8">
        <w:rPr>
          <w:rFonts w:ascii="Times New Roman" w:hAnsi="Times New Roman"/>
          <w:sz w:val="24"/>
          <w:szCs w:val="24"/>
          <w:lang w:eastAsia="cs-CZ"/>
        </w:rPr>
        <w:lastRenderedPageBreak/>
        <w:t xml:space="preserve">V roce 2014 bylo provedeno 69 plánovaných auditů, přičemž auditované výdaje představovaly hodnotu 2 777 197 299,70 Kč (tj. 25,37 % z celkových certifikovaných výdajů roku 2013).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oblastí zadávání veřejných zakázek a způsobilosti výdajů (např. chybná výše mzdových výdajů, nedoložené a neoprávněné výdaje).</w:t>
      </w:r>
    </w:p>
    <w:p w:rsidR="00F27B03" w:rsidRPr="006F67E8" w:rsidRDefault="00F27B03" w:rsidP="00903D85">
      <w:pPr>
        <w:rPr>
          <w:rFonts w:ascii="Times New Roman" w:hAnsi="Times New Roman"/>
          <w:b/>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Operační program Vzdělávání pr</w:t>
      </w:r>
      <w:r>
        <w:rPr>
          <w:rFonts w:ascii="Times New Roman" w:hAnsi="Times New Roman"/>
          <w:b/>
          <w:sz w:val="24"/>
          <w:szCs w:val="24"/>
          <w:lang w:eastAsia="cs-CZ"/>
        </w:rPr>
        <w:t>o konkurenceschopnost („OP VK“)</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Na základě provedené auditní činnosti bylo v rámci Výroční kontrolní zprávy za rok 2014 vydáno </w:t>
      </w:r>
      <w:r w:rsidRPr="006F67E8">
        <w:rPr>
          <w:rFonts w:ascii="Times New Roman" w:hAnsi="Times New Roman"/>
          <w:i/>
          <w:sz w:val="24"/>
          <w:szCs w:val="24"/>
          <w:lang w:eastAsia="cs-CZ"/>
        </w:rPr>
        <w:t>stanovisko s výhradou.</w:t>
      </w:r>
      <w:r w:rsidRPr="006F67E8">
        <w:rPr>
          <w:rFonts w:ascii="Times New Roman" w:hAnsi="Times New Roman"/>
          <w:sz w:val="24"/>
          <w:szCs w:val="24"/>
          <w:lang w:eastAsia="cs-CZ"/>
        </w:rPr>
        <w:t xml:space="preserve">  Dle tohoto výročního stanoviska byly řídící a kontrolní systémy zřízené pro účely Operačního programu Vzdělávání pro konkurenceschopnost v souladu s platnými požadavky článků 58 až 62 nařízení Rady (ES) č. 1083/2006 a oddílu 3 nařízení Komise (ES) č. 1828/2006 a fungovaly účinně a poskytly tak přiměřenou jistotu, že výkazy výdajů předložené Komisi byly správné, a tudíž přiměřenou jistotu, že související transakce byly legální a řádné, s výjimkou pro oblast řídící kontroly (čl. 60 písm. b) nařízení Rady č. 1083/2006 a čl. 13 odst. 2 nařízení Komise č. 1828/2006 (fungování klíčových požadavků č. 1, 4 a 7) v rámci OP VK a zejména v přenesené odpovědnosti zprostředkujícího subjektu Středočeského kraje.</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identifikovaly vyšší chybovost, než je přípustná. Z auditů operací vyplývá za dané období projektovaná chybovost ve výši 3,05 %.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OP VK klasifikován v kategorii 2 – systém funguje, ale jsou zapotřebí určitá zlepšení.</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případě OP VK bylo v roce 2014 provedeno celkem 64 auditů operací. Zauditována byla částka ve výši 505 860 747,55 Kč, tj. 3, 47 % z celkových certifikovaných výdajů.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 Nejčastější a nejzávažnější zjištění identifikovaná při auditech operací se dají shrnout do těchto oblastí: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 xml:space="preserve">zadávání veřejných zakázek (34 % zjištění), </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 xml:space="preserve">oblasti osobních nákladů (15 % zjištění), </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nesprávný výpočet cestovních náhrad (13 % zjištění).</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Hlavní nedostatky, které byly identifikovány v rámci provedených auditů systémů:</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Nedostatečný počet provedených kontrol delegovaných činností,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lastRenderedPageBreak/>
        <w:t>Nedostatečný počet provedených kontrol GG,</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Neplnění plánu kontrol,</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Opožděné předání hlášení podezření na nesrovnalosti FÚ,</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Účtování o pohledávkách až v době jejich uhrazení,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Nedůvodné vyhodnocení ŘO nesrovnalostí jako nepotvrzené,</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Schválení projektu v případech, kdy dva z hodnotitelů ho nedoporučují,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Nejednoznačné nastavení povinnosti pro použití krátkých a dlouhých verzí kontrolního listu (KL) pro administrativní kontrolu MZ a ŽOP,</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Proplacení závěrečné žádosti o platbu při podezření na porušení rozpočtové kázně,</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Neprovádění vyhodnocení plnění ročního komunikačního plánu na ZS,</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Nejsou vyplňovány kontrolní listy pro kontrolu veřejných zakázek v rámci administrativních kontrol na ZS,</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Není prováděna ex-ante analýza rizik veřejných zakázek na ZS,</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Chybné provedení kontroly veřejných zakázek na ZS,</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Na úrovni ZS není adekvátně řešena oblast nesrovnalostí,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Není zajištěno efektivní řízení rizik ZS v rámci implementace OPVK,</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Administrativní kontroly prováděli titíž manažeři, kteří prováděli kontroly na místě.</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V průběhu roku 2014 byla zajištěna rotace auditorů u 4 z 64 auditů operací, tj. cca 6,25 % rotace OP VK na pozicích členů auditních týmů.</w:t>
      </w:r>
    </w:p>
    <w:p w:rsidR="00F27B03" w:rsidRPr="006F67E8" w:rsidRDefault="00F27B03" w:rsidP="00903D85">
      <w:pPr>
        <w:rPr>
          <w:rFonts w:ascii="Times New Roman" w:hAnsi="Times New Roman"/>
          <w:b/>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Operační program Praha - Adaptabi</w:t>
      </w:r>
      <w:r>
        <w:rPr>
          <w:rFonts w:ascii="Times New Roman" w:hAnsi="Times New Roman"/>
          <w:b/>
          <w:sz w:val="24"/>
          <w:szCs w:val="24"/>
          <w:lang w:eastAsia="cs-CZ"/>
        </w:rPr>
        <w:t>lita („OPPA“)</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provedené auditní činnost</w:t>
      </w:r>
      <w:r>
        <w:rPr>
          <w:rFonts w:ascii="Times New Roman" w:hAnsi="Times New Roman"/>
          <w:sz w:val="24"/>
          <w:szCs w:val="24"/>
          <w:lang w:eastAsia="cs-CZ"/>
        </w:rPr>
        <w:t>i</w:t>
      </w:r>
      <w:r w:rsidRPr="006F67E8">
        <w:rPr>
          <w:rFonts w:ascii="Times New Roman" w:hAnsi="Times New Roman"/>
          <w:sz w:val="24"/>
          <w:szCs w:val="24"/>
          <w:lang w:eastAsia="cs-CZ"/>
        </w:rPr>
        <w:t xml:space="preserve"> byl vydán výrok, že řídící a kontrolní systémy zřízené pro účely Operačního programu Praha - Adaptabilita byly v souladu s platnými požadavky článků 58 až 62 nařízení Rady (ES) č. 1083/2006 a oddílu 3 nařízení Komise (ES) č. 1828/2006 a fungovaly účinně a poskytly tak přiměřenou jistotu, že výkazy výdajů předložené Komisi byly správné, a tudíž přiměřenou jistotu, že související transakce byly legální a řádné, s výjimkou pro oblast řídící kontroly (čl. 60 písm. b) nařízení Rady č.</w:t>
      </w:r>
      <w:r>
        <w:rPr>
          <w:rFonts w:ascii="Times New Roman" w:hAnsi="Times New Roman"/>
          <w:sz w:val="24"/>
          <w:szCs w:val="24"/>
          <w:lang w:eastAsia="cs-CZ"/>
        </w:rPr>
        <w:t> </w:t>
      </w:r>
      <w:r w:rsidRPr="006F67E8">
        <w:rPr>
          <w:rFonts w:ascii="Times New Roman" w:hAnsi="Times New Roman"/>
          <w:sz w:val="24"/>
          <w:szCs w:val="24"/>
          <w:lang w:eastAsia="cs-CZ"/>
        </w:rPr>
        <w:t>1083/2006 a čl. 13 odst. 2 nařízení Komise č. 1828/2006 (fungování klíčového požadavku č. 4).</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neidentifikovaly vyšší chybovost, než je přípustná. Z auditů operací vyplývá za dané období projektovaná chybovost 1,60% (po provedené validaci ze strany EK).</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Na základě výsledků auditů systému byl řídící a kontrolní systém OP PA klasifikován v kategorii 2 – systém funguje, ale jsou zapotřebí určitá zlepšení.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roce 2014 bylo provedeno 36 plánovaných auditů, přičemž auditované výdaje představovaly hodnotu 84 030 300,00 Kč tj.21,1% z celkových certifikovaných výdajů roku 2013).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následujících oblastí: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diskriminačně stanovené kvalifikační předpoklady vyhlašovaných (veřejných) zakázek,</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nedostatečně stanovené hodnotících kritérií pro (veřejné) zakázky,</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 xml:space="preserve">nedostatečně dokládané osobní náklady a jejich alokace na projekt (neúplné/chybějící pracovní smlouvy, výkazy, </w:t>
      </w:r>
      <w:r>
        <w:rPr>
          <w:rFonts w:ascii="Times New Roman" w:hAnsi="Times New Roman"/>
          <w:sz w:val="24"/>
          <w:szCs w:val="24"/>
          <w:lang w:eastAsia="cs-CZ"/>
        </w:rPr>
        <w:t>atd.</w:t>
      </w:r>
      <w:r w:rsidRPr="006F67E8">
        <w:rPr>
          <w:rFonts w:ascii="Times New Roman" w:hAnsi="Times New Roman"/>
          <w:sz w:val="24"/>
          <w:szCs w:val="24"/>
          <w:lang w:eastAsia="cs-CZ"/>
        </w:rPr>
        <w:t>).</w:t>
      </w:r>
    </w:p>
    <w:p w:rsidR="00F27B03" w:rsidRPr="006F67E8" w:rsidRDefault="00F27B03" w:rsidP="00903D85">
      <w:pPr>
        <w:rPr>
          <w:rFonts w:ascii="Times New Roman" w:hAnsi="Times New Roman"/>
          <w:b/>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programy Evropského fondu</w:t>
      </w:r>
      <w:r>
        <w:rPr>
          <w:rFonts w:ascii="Times New Roman" w:hAnsi="Times New Roman"/>
          <w:b/>
          <w:sz w:val="24"/>
          <w:szCs w:val="24"/>
          <w:lang w:eastAsia="cs-CZ"/>
        </w:rPr>
        <w:t xml:space="preserve"> pro regionální rozvoj („ERDF“)</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Auditní orgán prováděl u regionálních operačních programů financovaných z Evropského fondu pro regionální rozvoj (ERDF), tj. Regionální operační program NUTS 2 Jihovýchod (ROP JV), Regionální operační program NUTS 2 Střední Morava (ROP SM), Regionální operační program NUTS 2 Moravskoslezsko (ROP MS), Regionální operační program NUTS 2 Severovýchod (ROP SV), Regionální operační program NUTS 2 Jihozápad (ROP JZ), Regionální operační program NUTS 2 Severozápad (ROP SZ), Regionální operační program NUTS 2 Střední Čechy (ROP SČ) a Operační program Praha -Konkurenceschopnost (OP PK), jak audity systému, tak i audity operací. Celkově bylo provedeno 269 auditů operací (o 49 auditů více než v roce 2013), z toho 260 plánovaných auditů pro rok 2014 (viz níže) a 9 mimořádných auditů. Audity systému byly prováděny v rámci každého operačního programu.</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Výsledky jednotlivých auditů za tyto operační programy byly shrnuty v rámci příslušných výročních kontrolních zpráv předaných Evropské komisi v prosinci 2014, včetně stanoviska k fungování daného řídícího a kontrolního systému.</w:t>
      </w:r>
    </w:p>
    <w:p w:rsidR="00F27B03" w:rsidRDefault="00F27B03">
      <w:pPr>
        <w:rPr>
          <w:rFonts w:ascii="Times New Roman" w:hAnsi="Times New Roman"/>
          <w:sz w:val="24"/>
          <w:szCs w:val="24"/>
          <w:lang w:eastAsia="cs-CZ"/>
        </w:rPr>
      </w:pPr>
      <w:r>
        <w:rPr>
          <w:rFonts w:ascii="Times New Roman" w:hAnsi="Times New Roman"/>
          <w:sz w:val="24"/>
          <w:szCs w:val="24"/>
          <w:lang w:eastAsia="cs-CZ"/>
        </w:rPr>
        <w:br w:type="page"/>
      </w:r>
    </w:p>
    <w:p w:rsidR="00F27B03" w:rsidRPr="006F67E8" w:rsidRDefault="00F27B03" w:rsidP="009761CF">
      <w:pPr>
        <w:spacing w:after="0"/>
        <w:ind w:firstLine="708"/>
        <w:rPr>
          <w:rFonts w:ascii="Times New Roman" w:hAnsi="Times New Roman"/>
          <w:sz w:val="24"/>
          <w:szCs w:val="24"/>
          <w:lang w:eastAsia="cs-CZ"/>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5"/>
        <w:gridCol w:w="3685"/>
        <w:gridCol w:w="2268"/>
        <w:gridCol w:w="2268"/>
      </w:tblGrid>
      <w:tr w:rsidR="00F27B03" w:rsidRPr="00702991" w:rsidTr="00EB4440">
        <w:trPr>
          <w:trHeight w:val="796"/>
          <w:jc w:val="center"/>
        </w:trPr>
        <w:tc>
          <w:tcPr>
            <w:tcW w:w="865" w:type="dxa"/>
            <w:shd w:val="clear" w:color="auto" w:fill="FFFFFF"/>
            <w:tcMar>
              <w:top w:w="14" w:type="dxa"/>
              <w:left w:w="14" w:type="dxa"/>
              <w:bottom w:w="0" w:type="dxa"/>
              <w:right w:w="14" w:type="dxa"/>
            </w:tcMar>
            <w:vAlign w:val="center"/>
          </w:tcPr>
          <w:p w:rsidR="00F27B03" w:rsidRPr="00EB4440" w:rsidRDefault="00F27B03" w:rsidP="00EB4440">
            <w:pPr>
              <w:jc w:val="center"/>
              <w:rPr>
                <w:rFonts w:ascii="Times New Roman" w:hAnsi="Times New Roman"/>
                <w:b/>
                <w:sz w:val="24"/>
                <w:szCs w:val="24"/>
                <w:lang w:eastAsia="cs-CZ"/>
              </w:rPr>
            </w:pPr>
            <w:r w:rsidRPr="00EB4440">
              <w:rPr>
                <w:rFonts w:ascii="Times New Roman" w:hAnsi="Times New Roman"/>
                <w:b/>
                <w:color w:val="000000"/>
                <w:kern w:val="24"/>
                <w:sz w:val="24"/>
                <w:szCs w:val="24"/>
                <w:lang w:eastAsia="cs-CZ"/>
              </w:rPr>
              <w:t>Fond</w:t>
            </w:r>
          </w:p>
        </w:tc>
        <w:tc>
          <w:tcPr>
            <w:tcW w:w="3685" w:type="dxa"/>
            <w:shd w:val="clear" w:color="auto" w:fill="FFFFFF"/>
            <w:tcMar>
              <w:top w:w="14" w:type="dxa"/>
              <w:left w:w="14" w:type="dxa"/>
              <w:bottom w:w="0" w:type="dxa"/>
              <w:right w:w="14" w:type="dxa"/>
            </w:tcMar>
            <w:vAlign w:val="center"/>
          </w:tcPr>
          <w:p w:rsidR="00F27B03" w:rsidRPr="00EB4440" w:rsidRDefault="00F27B03" w:rsidP="00EB4440">
            <w:pPr>
              <w:jc w:val="center"/>
              <w:rPr>
                <w:rFonts w:ascii="Times New Roman" w:hAnsi="Times New Roman"/>
                <w:b/>
                <w:sz w:val="24"/>
                <w:szCs w:val="24"/>
                <w:lang w:eastAsia="cs-CZ"/>
              </w:rPr>
            </w:pPr>
            <w:r w:rsidRPr="00EB4440">
              <w:rPr>
                <w:rFonts w:ascii="Times New Roman" w:hAnsi="Times New Roman"/>
                <w:b/>
                <w:color w:val="000000"/>
                <w:kern w:val="24"/>
                <w:sz w:val="24"/>
                <w:szCs w:val="24"/>
                <w:lang w:eastAsia="cs-CZ"/>
              </w:rPr>
              <w:t>Regionální operační program</w:t>
            </w:r>
          </w:p>
        </w:tc>
        <w:tc>
          <w:tcPr>
            <w:tcW w:w="2268" w:type="dxa"/>
            <w:shd w:val="clear" w:color="auto" w:fill="FFFFFF"/>
            <w:tcMar>
              <w:top w:w="14" w:type="dxa"/>
              <w:left w:w="14" w:type="dxa"/>
              <w:bottom w:w="0" w:type="dxa"/>
              <w:right w:w="14" w:type="dxa"/>
            </w:tcMar>
            <w:vAlign w:val="center"/>
          </w:tcPr>
          <w:p w:rsidR="00F27B03" w:rsidRPr="00EB4440" w:rsidRDefault="00F27B03" w:rsidP="0082163C">
            <w:pPr>
              <w:jc w:val="center"/>
              <w:rPr>
                <w:rFonts w:ascii="Times New Roman" w:hAnsi="Times New Roman"/>
                <w:b/>
                <w:sz w:val="24"/>
                <w:szCs w:val="24"/>
                <w:lang w:eastAsia="cs-CZ"/>
              </w:rPr>
            </w:pPr>
            <w:r w:rsidRPr="00EB4440">
              <w:rPr>
                <w:rFonts w:ascii="Times New Roman" w:hAnsi="Times New Roman"/>
                <w:b/>
                <w:color w:val="000000"/>
                <w:kern w:val="24"/>
                <w:sz w:val="24"/>
                <w:szCs w:val="24"/>
                <w:lang w:eastAsia="cs-CZ"/>
              </w:rPr>
              <w:t>Stanovisko</w:t>
            </w:r>
          </w:p>
        </w:tc>
        <w:tc>
          <w:tcPr>
            <w:tcW w:w="2268" w:type="dxa"/>
            <w:shd w:val="clear" w:color="auto" w:fill="FFFFFF"/>
            <w:tcMar>
              <w:top w:w="14" w:type="dxa"/>
              <w:left w:w="14" w:type="dxa"/>
              <w:bottom w:w="0" w:type="dxa"/>
              <w:right w:w="14" w:type="dxa"/>
            </w:tcMar>
            <w:vAlign w:val="center"/>
          </w:tcPr>
          <w:p w:rsidR="00F27B03" w:rsidRPr="00EB4440" w:rsidRDefault="00F27B03" w:rsidP="0082163C">
            <w:pPr>
              <w:jc w:val="center"/>
              <w:rPr>
                <w:rFonts w:ascii="Times New Roman" w:hAnsi="Times New Roman"/>
                <w:b/>
                <w:sz w:val="24"/>
                <w:szCs w:val="24"/>
                <w:lang w:eastAsia="cs-CZ"/>
              </w:rPr>
            </w:pPr>
            <w:r w:rsidRPr="00EB4440">
              <w:rPr>
                <w:rFonts w:ascii="Times New Roman" w:hAnsi="Times New Roman"/>
                <w:b/>
                <w:color w:val="000000"/>
                <w:kern w:val="24"/>
                <w:sz w:val="24"/>
                <w:szCs w:val="24"/>
                <w:lang w:eastAsia="cs-CZ"/>
              </w:rPr>
              <w:t>Extrapolovaná chybovost</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Jihovýchod</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Bez výhrad</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1,60%</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Střední Morava</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7,87%</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Severovýchod</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5,61%</w:t>
            </w:r>
          </w:p>
        </w:tc>
      </w:tr>
      <w:tr w:rsidR="00F27B03" w:rsidRPr="00702991" w:rsidTr="00EB4440">
        <w:trPr>
          <w:trHeight w:val="289"/>
          <w:jc w:val="center"/>
        </w:trPr>
        <w:tc>
          <w:tcPr>
            <w:tcW w:w="865" w:type="dxa"/>
            <w:shd w:val="clear" w:color="auto" w:fill="FFFFFF"/>
            <w:tcMar>
              <w:top w:w="14" w:type="dxa"/>
              <w:left w:w="14" w:type="dxa"/>
              <w:bottom w:w="0" w:type="dxa"/>
              <w:right w:w="14" w:type="dxa"/>
            </w:tcMar>
            <w:vAlign w:val="center"/>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center"/>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Severozápad</w:t>
            </w:r>
          </w:p>
        </w:tc>
        <w:tc>
          <w:tcPr>
            <w:tcW w:w="2268" w:type="dxa"/>
            <w:shd w:val="clear" w:color="auto" w:fill="FFFFFF"/>
            <w:tcMar>
              <w:top w:w="14" w:type="dxa"/>
              <w:left w:w="14" w:type="dxa"/>
              <w:bottom w:w="0" w:type="dxa"/>
              <w:right w:w="14" w:type="dxa"/>
            </w:tcMar>
            <w:vAlign w:val="center"/>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center"/>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3,73%</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Střední Čechy</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sz w:val="24"/>
                <w:szCs w:val="24"/>
                <w:lang w:eastAsia="cs-CZ"/>
              </w:rPr>
              <w:t>3,53 %</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Moravskoslezsko</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1,92%</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ROP Jihozápad</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3,19%</w:t>
            </w:r>
          </w:p>
        </w:tc>
      </w:tr>
      <w:tr w:rsidR="00F27B03" w:rsidRPr="00702991" w:rsidTr="00EB4440">
        <w:trPr>
          <w:trHeight w:val="388"/>
          <w:jc w:val="center"/>
        </w:trPr>
        <w:tc>
          <w:tcPr>
            <w:tcW w:w="86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ERDF</w:t>
            </w:r>
          </w:p>
        </w:tc>
        <w:tc>
          <w:tcPr>
            <w:tcW w:w="3685" w:type="dxa"/>
            <w:shd w:val="clear" w:color="auto" w:fill="FFFFFF"/>
            <w:tcMar>
              <w:top w:w="14" w:type="dxa"/>
              <w:left w:w="14" w:type="dxa"/>
              <w:bottom w:w="0" w:type="dxa"/>
              <w:right w:w="14" w:type="dxa"/>
            </w:tcMar>
            <w:vAlign w:val="bottom"/>
          </w:tcPr>
          <w:p w:rsidR="00F27B03" w:rsidRPr="006F67E8" w:rsidRDefault="00F27B03" w:rsidP="00F863FC">
            <w:pPr>
              <w:rPr>
                <w:rFonts w:ascii="Times New Roman" w:hAnsi="Times New Roman"/>
                <w:sz w:val="24"/>
                <w:szCs w:val="24"/>
                <w:lang w:eastAsia="cs-CZ"/>
              </w:rPr>
            </w:pPr>
            <w:r w:rsidRPr="006F67E8">
              <w:rPr>
                <w:rFonts w:ascii="Times New Roman" w:hAnsi="Times New Roman"/>
                <w:color w:val="000000"/>
                <w:kern w:val="24"/>
                <w:sz w:val="24"/>
                <w:szCs w:val="24"/>
                <w:lang w:eastAsia="cs-CZ"/>
              </w:rPr>
              <w:t>OP Praha - Konkurenceschopnost</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color w:val="000000"/>
                <w:kern w:val="24"/>
                <w:sz w:val="24"/>
                <w:szCs w:val="24"/>
                <w:lang w:eastAsia="cs-CZ"/>
              </w:rPr>
              <w:t>S výhradou</w:t>
            </w:r>
          </w:p>
        </w:tc>
        <w:tc>
          <w:tcPr>
            <w:tcW w:w="2268" w:type="dxa"/>
            <w:shd w:val="clear" w:color="auto" w:fill="FFFFFF"/>
            <w:tcMar>
              <w:top w:w="14" w:type="dxa"/>
              <w:left w:w="14" w:type="dxa"/>
              <w:bottom w:w="0" w:type="dxa"/>
              <w:right w:w="14" w:type="dxa"/>
            </w:tcMar>
            <w:vAlign w:val="bottom"/>
          </w:tcPr>
          <w:p w:rsidR="00F27B03" w:rsidRPr="006F67E8" w:rsidRDefault="00F27B03" w:rsidP="00F863FC">
            <w:pPr>
              <w:jc w:val="center"/>
              <w:rPr>
                <w:rFonts w:ascii="Times New Roman" w:hAnsi="Times New Roman"/>
                <w:sz w:val="24"/>
                <w:szCs w:val="24"/>
                <w:lang w:eastAsia="cs-CZ"/>
              </w:rPr>
            </w:pPr>
            <w:r w:rsidRPr="006F67E8">
              <w:rPr>
                <w:rFonts w:ascii="Times New Roman" w:hAnsi="Times New Roman"/>
                <w:kern w:val="24"/>
                <w:sz w:val="24"/>
                <w:szCs w:val="24"/>
                <w:lang w:eastAsia="cs-CZ"/>
              </w:rPr>
              <w:t>3,63%</w:t>
            </w:r>
          </w:p>
        </w:tc>
      </w:tr>
    </w:tbl>
    <w:p w:rsidR="00F27B03" w:rsidRPr="006F67E8" w:rsidRDefault="00F27B03" w:rsidP="00903D85">
      <w:pPr>
        <w:rPr>
          <w:rFonts w:ascii="Times New Roman" w:hAnsi="Times New Roman"/>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program N</w:t>
      </w:r>
      <w:r>
        <w:rPr>
          <w:rFonts w:ascii="Times New Roman" w:hAnsi="Times New Roman"/>
          <w:b/>
          <w:sz w:val="24"/>
          <w:szCs w:val="24"/>
          <w:lang w:eastAsia="cs-CZ"/>
        </w:rPr>
        <w:t>UTS II Střední Čechy („ROP SČ“)</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provedené auditní činnost</w:t>
      </w:r>
      <w:r>
        <w:rPr>
          <w:rFonts w:ascii="Times New Roman" w:hAnsi="Times New Roman"/>
          <w:sz w:val="24"/>
          <w:szCs w:val="24"/>
          <w:lang w:eastAsia="cs-CZ"/>
        </w:rPr>
        <w:t>i</w:t>
      </w:r>
      <w:r w:rsidRPr="006F67E8">
        <w:rPr>
          <w:rFonts w:ascii="Times New Roman" w:hAnsi="Times New Roman"/>
          <w:sz w:val="24"/>
          <w:szCs w:val="24"/>
          <w:lang w:eastAsia="cs-CZ"/>
        </w:rPr>
        <w:t xml:space="preserve"> byl vydán výrok, že řídící a kontrolní systémy zřízené pro účely Regionální operační program regionu soudržnosti NUTS II Střední Čechy byly v souladu s platnými požadavky článků 58 až 62 nařízení Rady (ES) č. 1083/2006 a</w:t>
      </w:r>
      <w:r>
        <w:rPr>
          <w:rFonts w:ascii="Times New Roman" w:hAnsi="Times New Roman"/>
          <w:sz w:val="24"/>
          <w:szCs w:val="24"/>
          <w:lang w:eastAsia="cs-CZ"/>
        </w:rPr>
        <w:t> </w:t>
      </w:r>
      <w:r w:rsidRPr="006F67E8">
        <w:rPr>
          <w:rFonts w:ascii="Times New Roman" w:hAnsi="Times New Roman"/>
          <w:sz w:val="24"/>
          <w:szCs w:val="24"/>
          <w:lang w:eastAsia="cs-CZ"/>
        </w:rPr>
        <w:t>oddílu 3 nařízení Komise (ES) č. 1828/2006 a fungovaly účinně a poskytly tak přiměřenou jistotu, že výkazy výdajů předložené Komisi byly správné, a tudíž přiměřenou jistotu, že související transakce byly legální a řádné, s výhradou pro oblast řídící kontroly (čl. 60 písm. b) nařízení Rady č. 1083/2006 a čl. 13 odst. 2 nařízení Komise č. 1828/2006 (fungování klíčového požadavku č. 4).</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identifikovaly vyšší chybovost, než je přípustná. Z auditů operací vyplývá za dané období projektovaná chybovost ve výši 3,53 %.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ROP SČ klasifikován v kategorii 2 – systém funguje, ale jsou zapotřebí určitá zlepšení.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Celková auditovaná certifikovaná hodnota operací činila 2 164 284 982,95 Kč, tj. 37,50 % z kumulativní certifikované hodnoty roku 2013. Objem nezpůsobilých auditovaných certifikovaných výdajů ve vzorku činil 70 762 393,33 Kč, tj. 3,27 %.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Nejčastější a nejzávažnější zjištění identifikovaná při auditech operací se dají shrnout do oblastí zadávání veřejných zakázek, způsobilosti výdajů (např. proplacení nezpůsobilých nákladů projektu) a nedostatečného audit trailu (např. nepředložení kompletní dokumentace projektu, porušení pravidla pro uchovávání dokumentů).</w:t>
      </w:r>
    </w:p>
    <w:p w:rsidR="00F27B03" w:rsidRPr="006F67E8" w:rsidRDefault="00F27B03" w:rsidP="00A12A7E">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rámci mimořádného horizontálního auditu systému pro projekty v rámci zdravotnictví se prokázalo, že nedostatky identifikované u projektů v minulosti na základě auditu EK se vyskytují i u ROP SČ</w:t>
      </w:r>
      <w:r>
        <w:rPr>
          <w:rFonts w:ascii="Times New Roman" w:hAnsi="Times New Roman"/>
          <w:sz w:val="24"/>
          <w:szCs w:val="24"/>
          <w:lang w:eastAsia="cs-CZ"/>
        </w:rPr>
        <w:t>.</w:t>
      </w:r>
      <w:r w:rsidRPr="006F67E8">
        <w:rPr>
          <w:rFonts w:ascii="Times New Roman" w:hAnsi="Times New Roman"/>
          <w:sz w:val="24"/>
          <w:szCs w:val="24"/>
          <w:lang w:eastAsia="cs-CZ"/>
        </w:rPr>
        <w:t xml:space="preserve"> </w:t>
      </w:r>
      <w:r>
        <w:rPr>
          <w:rFonts w:ascii="Times New Roman" w:hAnsi="Times New Roman"/>
          <w:sz w:val="24"/>
          <w:szCs w:val="24"/>
          <w:lang w:eastAsia="cs-CZ"/>
        </w:rPr>
        <w:t>Z</w:t>
      </w:r>
      <w:r w:rsidRPr="006F67E8">
        <w:rPr>
          <w:rFonts w:ascii="Times New Roman" w:hAnsi="Times New Roman"/>
          <w:sz w:val="24"/>
          <w:szCs w:val="24"/>
          <w:lang w:eastAsia="cs-CZ"/>
        </w:rPr>
        <w:t> celkem auditovaných 73 397 637,23 činil objem nezpůsobilých výdajů 13 262 888,00 Kč tj. 18,07 %.</w:t>
      </w:r>
    </w:p>
    <w:p w:rsidR="00F27B03" w:rsidRDefault="00F27B03" w:rsidP="00A12A7E">
      <w:pPr>
        <w:rPr>
          <w:rFonts w:ascii="Times New Roman" w:hAnsi="Times New Roman"/>
          <w:b/>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 xml:space="preserve">Regionální operační program regionu soudržnosti </w:t>
      </w:r>
      <w:r>
        <w:rPr>
          <w:rFonts w:ascii="Times New Roman" w:hAnsi="Times New Roman"/>
          <w:b/>
          <w:sz w:val="24"/>
          <w:szCs w:val="24"/>
          <w:lang w:eastAsia="cs-CZ"/>
        </w:rPr>
        <w:t>NUTS II Jihovýchod („ROP JV“)</w:t>
      </w:r>
    </w:p>
    <w:p w:rsidR="00F27B03" w:rsidRPr="006F67E8" w:rsidRDefault="00F27B03" w:rsidP="009761CF">
      <w:pPr>
        <w:spacing w:after="0"/>
        <w:ind w:firstLine="708"/>
        <w:rPr>
          <w:rFonts w:ascii="Times New Roman" w:hAnsi="Times New Roman"/>
          <w:bCs/>
          <w:sz w:val="24"/>
          <w:szCs w:val="24"/>
          <w:lang w:eastAsia="cs-CZ"/>
        </w:rPr>
      </w:pPr>
      <w:r w:rsidRPr="006F67E8">
        <w:rPr>
          <w:rFonts w:ascii="Times New Roman" w:hAnsi="Times New Roman"/>
          <w:sz w:val="24"/>
          <w:szCs w:val="24"/>
          <w:lang w:eastAsia="cs-CZ"/>
        </w:rPr>
        <w:t xml:space="preserve">Na základě přezkoumání fungování řídících a kontrolních systémů bylo pro Regionální operační program Jihovýchod v rámci Výroční kontrolní zprávy za rok 2014 vydáno </w:t>
      </w:r>
      <w:r w:rsidRPr="006F67E8">
        <w:rPr>
          <w:rFonts w:ascii="Times New Roman" w:hAnsi="Times New Roman"/>
          <w:i/>
          <w:sz w:val="24"/>
          <w:szCs w:val="24"/>
          <w:lang w:eastAsia="cs-CZ"/>
        </w:rPr>
        <w:t>stanovisko bez výhrad</w:t>
      </w:r>
      <w:r w:rsidRPr="006F67E8">
        <w:rPr>
          <w:rFonts w:ascii="Times New Roman" w:hAnsi="Times New Roman"/>
          <w:sz w:val="24"/>
          <w:szCs w:val="24"/>
          <w:lang w:eastAsia="cs-CZ"/>
        </w:rPr>
        <w:t>. Podle tohoto výročního stanoviska byly řídící a kontrolní systémy zřízené pro účely programu ROP Jihovýchod za období 2013/2014 v souladu s platnými požadavky článků 58 až 62 nařízení Rady (ES) č. 1083/2006 a fungovaly účinně a poskytly tak přiměřenou jistotu, že výkazy výdajů předložené Komisi byly správné, a tudíž dávají přiměřenou jistotu, že související transakce byly legální a řádné. V rámci auditu systému č. ROPJV/2013/S/001 byla zhodnocena</w:t>
      </w:r>
      <w:r w:rsidRPr="006F67E8">
        <w:rPr>
          <w:rFonts w:ascii="Times New Roman" w:hAnsi="Times New Roman"/>
          <w:bCs/>
          <w:sz w:val="24"/>
          <w:szCs w:val="24"/>
          <w:lang w:eastAsia="cs-CZ"/>
        </w:rPr>
        <w:t xml:space="preserve"> úroveň spolehlivosti systému kategorií 2 – „Systém </w:t>
      </w:r>
      <w:r w:rsidRPr="006F67E8">
        <w:rPr>
          <w:rFonts w:ascii="Times New Roman" w:hAnsi="Times New Roman"/>
          <w:sz w:val="24"/>
          <w:szCs w:val="24"/>
          <w:lang w:eastAsia="cs-CZ"/>
        </w:rPr>
        <w:t>funguje, ale jsou třeba určitá zlepšení“.</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Kromě auditu systému bylo v rámci ROP Jihovýchod v souladu s konsolidovaným plánem na rok 2014 provedeno celkem 25 auditů operací, z toho jeden mimořádný audit zdravotnictví. Z uvedeného počtu auditů operací bylo identifikováno celkem 74 zjištění, z toho 28 zjištění bylo s nízkou mírou závažnosti, 29 zjištění se střední a 17 zjištění s vysokou mírou závažnosti. Výchozí auditované výdaje vybraného vzorku byly ve výši </w:t>
      </w:r>
      <w:r w:rsidRPr="006F67E8">
        <w:rPr>
          <w:rFonts w:ascii="Times New Roman" w:hAnsi="Times New Roman"/>
          <w:sz w:val="24"/>
          <w:szCs w:val="24"/>
          <w:lang w:eastAsia="cs-CZ"/>
        </w:rPr>
        <w:br/>
        <w:t>1 943 711 565,69 Kč. Celková chybovost v namátkovém vzorku dosáhla 1,6 %.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Chyby identifikované v rámci auditů operací se nejčastěji týkaly:</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oblasti zadávání veřejných zakázek (59 % zjištění),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nezpůsobilosti výdajů podle pravidel operačního programu (14 % zjištění),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předvídatelnosti a opodstatněnosti víceprací (12 % zjištění),</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nedodržování auditní stopy (5 % zjištění), </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nedodržování pravidel pro projekty generující příjmy (4% zjištění),</w:t>
      </w:r>
    </w:p>
    <w:p w:rsidR="00F27B03" w:rsidRPr="006F67E8" w:rsidRDefault="00F27B03" w:rsidP="00C20038">
      <w:pPr>
        <w:numPr>
          <w:ilvl w:val="0"/>
          <w:numId w:val="16"/>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nedostatků při nakládání s veřejnými prostředky (pravidlo 3E – 3 % zjištění).</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V průběhu roku 2014 byla zajištěna rotace auditorů u 4 z 25 auditů operací, tj. cca 16% rotace ROPJV na pozicích člen auditního týmu.</w:t>
      </w:r>
    </w:p>
    <w:p w:rsidR="00F27B03" w:rsidRPr="006F67E8" w:rsidRDefault="00F27B03" w:rsidP="00903D85">
      <w:pPr>
        <w:rPr>
          <w:rFonts w:ascii="Times New Roman" w:hAnsi="Times New Roman"/>
          <w:sz w:val="24"/>
          <w:szCs w:val="24"/>
          <w:lang w:eastAsia="cs-CZ"/>
        </w:rPr>
      </w:pPr>
    </w:p>
    <w:p w:rsidR="00F27B03" w:rsidRPr="006F67E8"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program NU</w:t>
      </w:r>
      <w:r>
        <w:rPr>
          <w:rFonts w:ascii="Times New Roman" w:hAnsi="Times New Roman"/>
          <w:b/>
          <w:sz w:val="24"/>
          <w:szCs w:val="24"/>
          <w:lang w:eastAsia="cs-CZ"/>
        </w:rPr>
        <w:t>TS II Střední Morava („ROP SM“)</w:t>
      </w:r>
    </w:p>
    <w:p w:rsidR="00F27B03" w:rsidRPr="006F67E8" w:rsidRDefault="00F27B03" w:rsidP="00A12A7E">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Na základě provedené auditní činnost byl vydán výrok, že řídící a kontrolní systémy zřízené pro účely Regionální operační program regionu soudržnosti NUTS II Střední Morava byly v souladu s platnými požadavky článků 58 až 62 nařízení Rady (ES) č. 1083/2006 a oddílu 3 nařízení Komise (ES) č. 1828/2006 a fungovaly účinně a poskytly tak přiměřenou jistotu, že výkazy výdajů předložené Komisi byly správné, a tudíž přiměřenou jistotu, že související transakce byly legální a řádné, s výhradou pro oblast řídící kontroly (čl. 60 písm. b) nařízení Rady č. 1083/2006 a čl. 13 odst. 2 nařízení Komise č. 1828/2006 (fungo</w:t>
      </w:r>
      <w:r>
        <w:rPr>
          <w:rFonts w:ascii="Times New Roman" w:hAnsi="Times New Roman"/>
          <w:sz w:val="24"/>
          <w:szCs w:val="24"/>
          <w:lang w:eastAsia="cs-CZ"/>
        </w:rPr>
        <w:t>vání klíčového požadavku č. 4).</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identifikovaly vyšší chybovost, než je přípustná. Z auditů operací vyplývá za dané období projektovaná chybovost ve výši 7,87 %.</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ROP SM klasifikován v kategorii 2 – systém funguje, ale jsou zapotřebí určitá zlepšení.</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 xml:space="preserve">V případě ROP SM bylo v roce 2014 provedeno celkem 43 auditů operací. Zauditována byla částka 1 623 664 711,99 Kč, tj. 69,06 % z celkových certifikovaných výdajů. </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následujících oblastí:</w:t>
      </w:r>
    </w:p>
    <w:p w:rsidR="00F27B03" w:rsidRPr="00EB4440" w:rsidRDefault="00F27B03" w:rsidP="00EB4440">
      <w:pPr>
        <w:pStyle w:val="Odstavecseseznamem"/>
        <w:numPr>
          <w:ilvl w:val="0"/>
          <w:numId w:val="37"/>
        </w:numPr>
        <w:suppressAutoHyphens/>
        <w:autoSpaceDE w:val="0"/>
        <w:spacing w:after="0"/>
        <w:rPr>
          <w:rFonts w:ascii="Times New Roman" w:hAnsi="Times New Roman"/>
          <w:sz w:val="24"/>
          <w:szCs w:val="24"/>
          <w:lang w:eastAsia="cs-CZ"/>
        </w:rPr>
      </w:pPr>
      <w:r w:rsidRPr="00EB4440">
        <w:rPr>
          <w:rFonts w:ascii="Times New Roman" w:hAnsi="Times New Roman"/>
          <w:sz w:val="24"/>
          <w:szCs w:val="24"/>
          <w:lang w:eastAsia="cs-CZ"/>
        </w:rPr>
        <w:t xml:space="preserve">zadávání veřejných zakázek, konkrétně stanovení diskriminačních kvalifikačních předpokladů, nepravdivé a falešné reference pro prokázání kvalifikace nebo podstatná změna smlouvy mající vliv na změnu zadávací dokumentace, </w:t>
      </w:r>
    </w:p>
    <w:p w:rsidR="00F27B03" w:rsidRPr="00EB4440" w:rsidRDefault="00F27B03" w:rsidP="00EB4440">
      <w:pPr>
        <w:pStyle w:val="Odstavecseseznamem"/>
        <w:numPr>
          <w:ilvl w:val="0"/>
          <w:numId w:val="37"/>
        </w:numPr>
        <w:suppressAutoHyphens/>
        <w:autoSpaceDE w:val="0"/>
        <w:spacing w:after="0"/>
        <w:rPr>
          <w:rFonts w:ascii="Times New Roman" w:hAnsi="Times New Roman"/>
          <w:sz w:val="24"/>
          <w:szCs w:val="24"/>
          <w:lang w:eastAsia="cs-CZ"/>
        </w:rPr>
      </w:pPr>
      <w:r w:rsidRPr="00EB4440">
        <w:rPr>
          <w:rFonts w:ascii="Times New Roman" w:hAnsi="Times New Roman"/>
          <w:sz w:val="24"/>
          <w:szCs w:val="24"/>
          <w:lang w:eastAsia="cs-CZ"/>
        </w:rPr>
        <w:t>vykazování nezpůsobilých výdajů.</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 xml:space="preserve">Dále byl v rámci ROP SM proveden jeden mimořádný audit systému a jeden mimořádný audit operace zaměřující se na oblast zdravotnictví. U těchto auditů nebylo identifikováno žádné zjištění. </w:t>
      </w:r>
    </w:p>
    <w:p w:rsidR="00F27B03" w:rsidRPr="006F67E8" w:rsidRDefault="00F27B03" w:rsidP="009761CF">
      <w:pPr>
        <w:suppressAutoHyphens/>
        <w:autoSpaceDE w:val="0"/>
        <w:spacing w:after="0"/>
        <w:rPr>
          <w:rFonts w:ascii="Times New Roman" w:hAnsi="Times New Roman"/>
          <w:sz w:val="24"/>
          <w:szCs w:val="24"/>
          <w:lang w:eastAsia="cs-CZ"/>
        </w:rPr>
      </w:pPr>
    </w:p>
    <w:p w:rsidR="00F27B03" w:rsidRDefault="00F27B03">
      <w:pPr>
        <w:rPr>
          <w:rFonts w:ascii="Times New Roman" w:hAnsi="Times New Roman"/>
          <w:b/>
          <w:sz w:val="24"/>
          <w:szCs w:val="24"/>
          <w:lang w:eastAsia="cs-CZ"/>
        </w:rPr>
      </w:pPr>
      <w:r>
        <w:rPr>
          <w:rFonts w:ascii="Times New Roman" w:hAnsi="Times New Roman"/>
          <w:b/>
          <w:sz w:val="24"/>
          <w:szCs w:val="24"/>
          <w:lang w:eastAsia="cs-CZ"/>
        </w:rPr>
        <w:br w:type="page"/>
      </w: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w:t>
      </w:r>
      <w:r>
        <w:rPr>
          <w:rFonts w:ascii="Times New Roman" w:hAnsi="Times New Roman"/>
          <w:b/>
          <w:sz w:val="24"/>
          <w:szCs w:val="24"/>
          <w:lang w:eastAsia="cs-CZ"/>
        </w:rPr>
        <w:t>am NUTS II Jihozápad („ROP JZ“)</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provedené auditní činnost</w:t>
      </w:r>
      <w:r>
        <w:rPr>
          <w:rFonts w:ascii="Times New Roman" w:hAnsi="Times New Roman"/>
          <w:sz w:val="24"/>
          <w:szCs w:val="24"/>
          <w:lang w:eastAsia="cs-CZ"/>
        </w:rPr>
        <w:t>i</w:t>
      </w:r>
      <w:r w:rsidRPr="006F67E8">
        <w:rPr>
          <w:rFonts w:ascii="Times New Roman" w:hAnsi="Times New Roman"/>
          <w:sz w:val="24"/>
          <w:szCs w:val="24"/>
          <w:lang w:eastAsia="cs-CZ"/>
        </w:rPr>
        <w:t xml:space="preserve"> bylo vydáno stanovisko (výrok) s výhradou, že řídící a kontrolní systémy zřízené pro účely Regionálního operačního programu regionu soudržnosti NUTS II Jihozápad, byly v souladu s platnými požadavky článků 58 až 62 nařízení Rady (ES) č. 1083/2006 a oddílu 3 nařízení Komise (ES) č. 1828/2006 a fungovaly účinně a poskytly tak přiměřenou jistotu, že výkazy výdajů předložené Komisi byly správné, a</w:t>
      </w:r>
      <w:r>
        <w:rPr>
          <w:rFonts w:ascii="Times New Roman" w:hAnsi="Times New Roman"/>
          <w:sz w:val="24"/>
          <w:szCs w:val="24"/>
          <w:lang w:eastAsia="cs-CZ"/>
        </w:rPr>
        <w:t> </w:t>
      </w:r>
      <w:r w:rsidRPr="006F67E8">
        <w:rPr>
          <w:rFonts w:ascii="Times New Roman" w:hAnsi="Times New Roman"/>
          <w:sz w:val="24"/>
          <w:szCs w:val="24"/>
          <w:lang w:eastAsia="cs-CZ"/>
        </w:rPr>
        <w:t>tudíž přiměřenou jistotu, že související transakce byly legální a řádné, s výjimkou pro oblast řídící kontroly (čl. 60 písm. b) nařízení Rady č. 1083/2006 a čl. 13 odst. 2 nařízení Komise č. 1828/2006 (fungování klíčového požadavku č. 4).</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identifikovaly vyšší chybovost, než je přípustná. Z auditů operací vyplývá za dané období projektovaná chybovost ve výši 3,19 %.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ROP JZ klasifikován v kategorii 2 – systém funguje, ale jsou zapotřebí určitá zlepšení.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případě ROP JZ bylo v roce 2014 provedeno celkem 35 auditů operací. Zauditována byla částka 2 088 964 612,71 Kč, tj. 64,15 % z celkových certifikovaných výdajů.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týkala porušení pravidel v oblasti veřejných zakázek, a to zejména v těchto oblastech:</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dělení předmětu veřejné zakázky,</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nepřiměřených či diskriminačních kvalifikačních kritérií,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volby typu zadávacího řízení,</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nedodržení lhůt v zadávacím řízení.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Další významná zjištění se týkala uplatnění výdajů, které nesplňovaly podmínky způsobilosti stanovené poskytovatelem dotace.</w:t>
      </w:r>
    </w:p>
    <w:p w:rsidR="00F27B03" w:rsidRPr="006F67E8" w:rsidRDefault="00F27B03" w:rsidP="00903D85">
      <w:pPr>
        <w:rPr>
          <w:rFonts w:ascii="Times New Roman" w:hAnsi="Times New Roman"/>
          <w:sz w:val="24"/>
          <w:szCs w:val="24"/>
          <w:lang w:eastAsia="cs-CZ"/>
        </w:rPr>
      </w:pPr>
    </w:p>
    <w:p w:rsidR="00F27B03" w:rsidRPr="00A12A7E"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program NUTS II Severozáp</w:t>
      </w:r>
      <w:r>
        <w:rPr>
          <w:rFonts w:ascii="Times New Roman" w:hAnsi="Times New Roman"/>
          <w:b/>
          <w:sz w:val="24"/>
          <w:szCs w:val="24"/>
          <w:lang w:eastAsia="cs-CZ"/>
        </w:rPr>
        <w:t>ad („ROP SZ“)</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Na základě provedené auditní činnosti bylo v rámci Výroční kontrolní zprávy za rok 2014 vydáno stanovisko s výhradou. Dle tohoto výročního stanoviska byly řídící a kontrolní systémy zřízené pro účely Regionální operační program regionu soudržnosti NUTS II Severozápad v souladu s platnými požadavky článků 58 až 62 nařízení Rady (ES) č. 1083/2006 a oddílu 3 nařízení Komise (ES) č. 1828/2006 a fungovaly účinně a poskytly tak </w:t>
      </w:r>
      <w:r w:rsidRPr="006F67E8">
        <w:rPr>
          <w:rFonts w:ascii="Times New Roman" w:hAnsi="Times New Roman"/>
          <w:sz w:val="24"/>
          <w:szCs w:val="24"/>
          <w:lang w:eastAsia="cs-CZ"/>
        </w:rPr>
        <w:lastRenderedPageBreak/>
        <w:t xml:space="preserve">přiměřenou jistotu, že výkazy výdajů předložené Komisi byly správné, a tudíž přiměřenou jistotu, že související transakce byly legální a řádné, </w:t>
      </w:r>
      <w:r w:rsidRPr="006F67E8">
        <w:rPr>
          <w:rFonts w:ascii="Times New Roman" w:hAnsi="Times New Roman"/>
          <w:sz w:val="24"/>
          <w:szCs w:val="24"/>
          <w:u w:val="single"/>
          <w:lang w:eastAsia="cs-CZ"/>
        </w:rPr>
        <w:t>s výjimkou těchto skutečností</w:t>
      </w:r>
      <w:r w:rsidRPr="006F67E8">
        <w:rPr>
          <w:rFonts w:ascii="Times New Roman" w:hAnsi="Times New Roman"/>
          <w:sz w:val="24"/>
          <w:szCs w:val="24"/>
          <w:lang w:eastAsia="cs-CZ"/>
        </w:rPr>
        <w:t xml:space="preserve">: </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nedostatečná řídící kontrola (čl. 60 písm. b) nařízení Rady č. 1083/2006 a čl. 13 odst. 2 nařízení Komise č. 1828/2006 (fungování klíčového požadavku č. 4).</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identifikovaly vyšší chybovost, než je přípustná. Z auditů operací vyplynula za dané období projektovaná chybovost ve výši 3,26 %.</w:t>
      </w:r>
      <w:r w:rsidRPr="006F67E8">
        <w:rPr>
          <w:rFonts w:ascii="Times New Roman" w:hAnsi="Times New Roman"/>
          <w:b/>
          <w:sz w:val="24"/>
          <w:szCs w:val="24"/>
          <w:lang w:eastAsia="cs-CZ"/>
        </w:rPr>
        <w:t xml:space="preserve">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V souvislosti s výše uvedeným lze řídící a kontrolní systém ROP SZ hodnotit jako méně spolehlivý. Současně i závěr hodnocení ze systémového auditu byl ohodnocen kategorií 2 – „Systém funguje, ale jsou třeba určitá zlepšení“.</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Kromě auditu systému bylo v případě ROP SZ v roce 2014 provedeno v souladu s konsolidovaným plánem auditů na rok 2014 celkem 30 auditů operací. Z uvedeného počtu auditů operací bylo identifikováno celkem 73 zjištění. Výchozí auditované výdaje vybraného vzorku byly ve výši 4 868 537 732,69 Kč, tj. 46,41 % z celkových certifikovaných výdajů.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v ROP SZ se týkala porušení pravidel v oblasti veřejných zakázek, a to zejména v následujících oblastech:</w:t>
      </w:r>
    </w:p>
    <w:p w:rsidR="00F27B03" w:rsidRPr="006F67E8" w:rsidRDefault="00F27B03" w:rsidP="009761CF">
      <w:pPr>
        <w:tabs>
          <w:tab w:val="left" w:pos="993"/>
        </w:tabs>
        <w:spacing w:after="0"/>
        <w:ind w:left="709"/>
        <w:rPr>
          <w:rFonts w:ascii="Times New Roman" w:hAnsi="Times New Roman"/>
          <w:sz w:val="24"/>
          <w:szCs w:val="24"/>
          <w:lang w:eastAsia="cs-CZ"/>
        </w:rPr>
      </w:pPr>
      <w:r w:rsidRPr="006F67E8">
        <w:rPr>
          <w:rFonts w:ascii="Times New Roman" w:hAnsi="Times New Roman"/>
          <w:sz w:val="24"/>
          <w:szCs w:val="24"/>
          <w:lang w:eastAsia="cs-CZ"/>
        </w:rPr>
        <w:t>-</w:t>
      </w:r>
      <w:r w:rsidRPr="006F67E8">
        <w:rPr>
          <w:rFonts w:ascii="Times New Roman" w:hAnsi="Times New Roman"/>
          <w:sz w:val="24"/>
          <w:szCs w:val="24"/>
          <w:lang w:eastAsia="cs-CZ"/>
        </w:rPr>
        <w:tab/>
        <w:t>diskriminační požadavky – 5 %,</w:t>
      </w:r>
    </w:p>
    <w:p w:rsidR="00F27B03" w:rsidRPr="006F67E8" w:rsidRDefault="00F27B03" w:rsidP="009761CF">
      <w:pPr>
        <w:tabs>
          <w:tab w:val="left" w:pos="993"/>
        </w:tabs>
        <w:spacing w:after="0"/>
        <w:ind w:left="709"/>
        <w:rPr>
          <w:rFonts w:ascii="Times New Roman" w:hAnsi="Times New Roman"/>
          <w:sz w:val="24"/>
          <w:szCs w:val="24"/>
          <w:lang w:eastAsia="cs-CZ"/>
        </w:rPr>
      </w:pPr>
      <w:r w:rsidRPr="006F67E8">
        <w:rPr>
          <w:rFonts w:ascii="Times New Roman" w:hAnsi="Times New Roman"/>
          <w:sz w:val="24"/>
          <w:szCs w:val="24"/>
          <w:lang w:eastAsia="cs-CZ"/>
        </w:rPr>
        <w:t>-</w:t>
      </w:r>
      <w:r w:rsidRPr="006F67E8">
        <w:rPr>
          <w:rFonts w:ascii="Times New Roman" w:hAnsi="Times New Roman"/>
          <w:sz w:val="24"/>
          <w:szCs w:val="24"/>
          <w:lang w:eastAsia="cs-CZ"/>
        </w:rPr>
        <w:tab/>
        <w:t>netransparentní výběr zadavatele – 21 %,</w:t>
      </w:r>
    </w:p>
    <w:p w:rsidR="00F27B03" w:rsidRPr="006F67E8" w:rsidRDefault="00F27B03" w:rsidP="009761CF">
      <w:pPr>
        <w:tabs>
          <w:tab w:val="left" w:pos="993"/>
        </w:tabs>
        <w:spacing w:after="0"/>
        <w:ind w:left="709"/>
        <w:rPr>
          <w:rFonts w:ascii="Times New Roman" w:hAnsi="Times New Roman"/>
          <w:sz w:val="24"/>
          <w:szCs w:val="24"/>
          <w:lang w:eastAsia="cs-CZ"/>
        </w:rPr>
      </w:pPr>
      <w:r w:rsidRPr="006F67E8">
        <w:rPr>
          <w:rFonts w:ascii="Times New Roman" w:hAnsi="Times New Roman"/>
          <w:sz w:val="24"/>
          <w:szCs w:val="24"/>
          <w:lang w:eastAsia="cs-CZ"/>
        </w:rPr>
        <w:t>-</w:t>
      </w:r>
      <w:r w:rsidRPr="006F67E8">
        <w:rPr>
          <w:rFonts w:ascii="Times New Roman" w:hAnsi="Times New Roman"/>
          <w:sz w:val="24"/>
          <w:szCs w:val="24"/>
          <w:lang w:eastAsia="cs-CZ"/>
        </w:rPr>
        <w:tab/>
        <w:t xml:space="preserve">užití nevhodných hodnotících kritérií bez vlivu na výběr (smluvní pokuty) – 37 %,   </w:t>
      </w:r>
    </w:p>
    <w:p w:rsidR="00F27B03" w:rsidRPr="006F67E8" w:rsidRDefault="00F27B03" w:rsidP="009761CF">
      <w:pPr>
        <w:tabs>
          <w:tab w:val="left" w:pos="993"/>
        </w:tabs>
        <w:spacing w:after="0"/>
        <w:ind w:left="709"/>
        <w:rPr>
          <w:rFonts w:ascii="Times New Roman" w:hAnsi="Times New Roman"/>
          <w:sz w:val="24"/>
          <w:szCs w:val="24"/>
          <w:lang w:eastAsia="cs-CZ"/>
        </w:rPr>
      </w:pPr>
      <w:r w:rsidRPr="006F67E8">
        <w:rPr>
          <w:rFonts w:ascii="Times New Roman" w:hAnsi="Times New Roman"/>
          <w:sz w:val="24"/>
          <w:szCs w:val="24"/>
          <w:lang w:eastAsia="cs-CZ"/>
        </w:rPr>
        <w:t xml:space="preserve">- </w:t>
      </w:r>
      <w:r w:rsidRPr="006F67E8">
        <w:rPr>
          <w:rFonts w:ascii="Times New Roman" w:hAnsi="Times New Roman"/>
          <w:sz w:val="24"/>
          <w:szCs w:val="24"/>
          <w:lang w:eastAsia="cs-CZ"/>
        </w:rPr>
        <w:tab/>
        <w:t>další formální nedostatky – 21 %.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Závažné zjištění se týkalo neprůkazného vedení účetnictví a skutečného vynaložení výdajů – 5 %. Další zjištění zahrnovala porušení pravidel archivace a audit trailu – 5 %, porušení pravidel publicity – 5 %. </w:t>
      </w:r>
    </w:p>
    <w:p w:rsidR="00F27B03" w:rsidRPr="006F67E8" w:rsidRDefault="00F27B03" w:rsidP="009761CF">
      <w:pPr>
        <w:spacing w:before="120" w:after="0"/>
        <w:ind w:firstLine="708"/>
        <w:rPr>
          <w:rFonts w:ascii="Times New Roman" w:hAnsi="Times New Roman"/>
          <w:sz w:val="24"/>
          <w:szCs w:val="24"/>
          <w:lang w:eastAsia="cs-CZ"/>
        </w:rPr>
      </w:pPr>
      <w:r w:rsidRPr="006F67E8">
        <w:rPr>
          <w:rFonts w:ascii="Times New Roman" w:hAnsi="Times New Roman"/>
          <w:sz w:val="24"/>
          <w:szCs w:val="24"/>
          <w:lang w:eastAsia="cs-CZ"/>
        </w:rPr>
        <w:t>Při plánování auditorských týmů nebyla s ohledem na kapacitní možnosti oddělení zajišťována rotace auditorů. V</w:t>
      </w:r>
      <w:r>
        <w:rPr>
          <w:rFonts w:ascii="Times New Roman" w:hAnsi="Times New Roman"/>
          <w:sz w:val="24"/>
          <w:szCs w:val="24"/>
          <w:lang w:eastAsia="cs-CZ"/>
        </w:rPr>
        <w:t xml:space="preserve"> 1</w:t>
      </w:r>
      <w:r w:rsidRPr="006F67E8">
        <w:rPr>
          <w:rFonts w:ascii="Times New Roman" w:hAnsi="Times New Roman"/>
          <w:sz w:val="24"/>
          <w:szCs w:val="24"/>
          <w:lang w:eastAsia="cs-CZ"/>
        </w:rPr>
        <w:t>00</w:t>
      </w:r>
      <w:r>
        <w:rPr>
          <w:rFonts w:ascii="Times New Roman" w:hAnsi="Times New Roman"/>
          <w:sz w:val="24"/>
          <w:szCs w:val="24"/>
          <w:lang w:eastAsia="cs-CZ"/>
        </w:rPr>
        <w:t xml:space="preserve"> </w:t>
      </w:r>
      <w:r w:rsidRPr="006F67E8">
        <w:rPr>
          <w:rFonts w:ascii="Times New Roman" w:hAnsi="Times New Roman"/>
          <w:sz w:val="24"/>
          <w:szCs w:val="24"/>
          <w:lang w:eastAsia="cs-CZ"/>
        </w:rPr>
        <w:t>% audit</w:t>
      </w:r>
      <w:r>
        <w:rPr>
          <w:rFonts w:ascii="Times New Roman" w:hAnsi="Times New Roman"/>
          <w:sz w:val="24"/>
          <w:szCs w:val="24"/>
          <w:lang w:eastAsia="cs-CZ"/>
        </w:rPr>
        <w:t>ů</w:t>
      </w:r>
      <w:r w:rsidRPr="006F67E8">
        <w:rPr>
          <w:rFonts w:ascii="Times New Roman" w:hAnsi="Times New Roman"/>
          <w:sz w:val="24"/>
          <w:szCs w:val="24"/>
          <w:lang w:eastAsia="cs-CZ"/>
        </w:rPr>
        <w:t xml:space="preserve"> operací (celkem 30) vykonaných ve sledovaném období u ROP SZ se jako vedoucí auditorského týmu či člen auditorského týmu účastnil auditor, který před datem 1. 1. 2013 nebyl součástí PAS u ROP SZ (nepodílel se na auditech v rámci tohoto operačního programu). </w:t>
      </w:r>
    </w:p>
    <w:p w:rsidR="00F27B03" w:rsidRPr="006F67E8" w:rsidRDefault="00F27B03" w:rsidP="00903D85">
      <w:pPr>
        <w:rPr>
          <w:rFonts w:ascii="Times New Roman" w:hAnsi="Times New Roman"/>
          <w:sz w:val="24"/>
          <w:szCs w:val="24"/>
          <w:lang w:eastAsia="cs-CZ"/>
        </w:rPr>
      </w:pPr>
    </w:p>
    <w:p w:rsidR="00F27B03" w:rsidRPr="006F67E8"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program NUTS</w:t>
      </w:r>
      <w:r>
        <w:rPr>
          <w:rFonts w:ascii="Times New Roman" w:hAnsi="Times New Roman"/>
          <w:b/>
          <w:sz w:val="24"/>
          <w:szCs w:val="24"/>
          <w:lang w:eastAsia="cs-CZ"/>
        </w:rPr>
        <w:t xml:space="preserve"> II Severovýchod („ROP SV“)</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lastRenderedPageBreak/>
        <w:t>Na základě provedené auditní činnost byl vydán výrok, že řídící a kontrolní systémy zřízené pro účely Regionální operační program regionu soudržnosti NUTS II Severovýchod byly v souladu s platnými požadavky článků 58 až 62 nařízení Rady (ES) č. 1083/2006 a</w:t>
      </w:r>
      <w:r>
        <w:rPr>
          <w:rFonts w:ascii="Times New Roman" w:hAnsi="Times New Roman"/>
          <w:sz w:val="24"/>
          <w:szCs w:val="24"/>
          <w:lang w:eastAsia="cs-CZ"/>
        </w:rPr>
        <w:t> </w:t>
      </w:r>
      <w:r w:rsidRPr="006F67E8">
        <w:rPr>
          <w:rFonts w:ascii="Times New Roman" w:hAnsi="Times New Roman"/>
          <w:sz w:val="24"/>
          <w:szCs w:val="24"/>
          <w:lang w:eastAsia="cs-CZ"/>
        </w:rPr>
        <w:t xml:space="preserve">oddílu 3 nařízení Komise (ES) č. 1828/2006 a fungovaly účinně a poskytly tak přiměřenou jistotu, že výkazy výdajů předložené Komisi byly správné, a že související transakce byly legální a řádné, s výhradou s ohledem na </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řídící kontroly (čl. 60 písm. b) nařízení Rady č. 1083/2006 a čl. 13 odst. 2 nařízení Komise č. 1828/2006 (fungování klíčového požadavku č. 4),</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 xml:space="preserve">vedení policejního </w:t>
      </w:r>
      <w:r>
        <w:rPr>
          <w:rFonts w:ascii="Times New Roman" w:hAnsi="Times New Roman"/>
          <w:sz w:val="24"/>
          <w:szCs w:val="24"/>
          <w:lang w:eastAsia="cs-CZ"/>
        </w:rPr>
        <w:t>vyšetřování</w:t>
      </w:r>
      <w:r w:rsidRPr="006F67E8">
        <w:rPr>
          <w:rFonts w:ascii="Times New Roman" w:hAnsi="Times New Roman"/>
          <w:sz w:val="24"/>
          <w:szCs w:val="24"/>
          <w:lang w:eastAsia="cs-CZ"/>
        </w:rPr>
        <w:t xml:space="preserve"> u některých projektů financovaných z daného regionálního operačního programu.</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ROP SV klasifikován v kategorii 2 – systém funguje, ale jsou zapotřebí určitá zlepšení.</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rámci roku 2014 byl nejdříve vybrán pilotní vzorek auditu operací (21 auditů). V průběhu roku byl vybrán doplňující vzorek (9 auditů). Celkem bylo v roce 2014 realizováno 30 auditů operace. Zauditována byla částka 2 865 422 588,89 Kč, tj. 48,90 % z celkových certifikovaných výdajů roku 2013.</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následujících oblastí:</w:t>
      </w:r>
    </w:p>
    <w:p w:rsidR="00F27B03" w:rsidRPr="006F67E8" w:rsidRDefault="00F27B03" w:rsidP="00C20038">
      <w:pPr>
        <w:numPr>
          <w:ilvl w:val="0"/>
          <w:numId w:val="14"/>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nesoulad mezi předloženou fakturací a zjištěnou skutečností (proplácení nevykonané práce/nedodaného zboží),</w:t>
      </w:r>
    </w:p>
    <w:p w:rsidR="00F27B03" w:rsidRPr="006F67E8" w:rsidRDefault="00F27B03" w:rsidP="00C20038">
      <w:pPr>
        <w:numPr>
          <w:ilvl w:val="0"/>
          <w:numId w:val="14"/>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nedostatečné vymezení předmětu VZ v podrobnostech nezbytných pro zpracování nabídky,</w:t>
      </w:r>
    </w:p>
    <w:p w:rsidR="00F27B03" w:rsidRPr="006F67E8" w:rsidRDefault="00F27B03" w:rsidP="00C20038">
      <w:pPr>
        <w:numPr>
          <w:ilvl w:val="0"/>
          <w:numId w:val="14"/>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 xml:space="preserve">nevyloučení dodavatele při nesplnění požadavků zákona, </w:t>
      </w:r>
    </w:p>
    <w:p w:rsidR="00F27B03" w:rsidRPr="006F67E8" w:rsidRDefault="00F27B03" w:rsidP="00C20038">
      <w:pPr>
        <w:numPr>
          <w:ilvl w:val="0"/>
          <w:numId w:val="14"/>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neposkytnutí dodatečných informací k zadávacím podmínkám,</w:t>
      </w:r>
    </w:p>
    <w:p w:rsidR="00F27B03" w:rsidRPr="006F67E8" w:rsidRDefault="00F27B03" w:rsidP="00C20038">
      <w:pPr>
        <w:numPr>
          <w:ilvl w:val="0"/>
          <w:numId w:val="14"/>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stanovení kvalifikačních předpokladů v rozporu se zákonem.</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Dále byly provedeny dva mimořádné audity operace zaměřené na oblast podpory 2.2 Rozvoj měst, v souvislosti s požadavkem EK na provedení horizontálního auditu zdravotnictví.</w:t>
      </w:r>
    </w:p>
    <w:p w:rsidR="00F27B03" w:rsidRPr="006F67E8" w:rsidRDefault="00F27B03" w:rsidP="00903D85">
      <w:pPr>
        <w:rPr>
          <w:rFonts w:ascii="Times New Roman" w:hAnsi="Times New Roman"/>
          <w:sz w:val="24"/>
          <w:szCs w:val="24"/>
          <w:lang w:eastAsia="cs-CZ"/>
        </w:rPr>
      </w:pPr>
    </w:p>
    <w:p w:rsidR="00F27B03" w:rsidRPr="006F67E8"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Regionální operační program NUT</w:t>
      </w:r>
      <w:r>
        <w:rPr>
          <w:rFonts w:ascii="Times New Roman" w:hAnsi="Times New Roman"/>
          <w:b/>
          <w:sz w:val="24"/>
          <w:szCs w:val="24"/>
          <w:lang w:eastAsia="cs-CZ"/>
        </w:rPr>
        <w:t>S II Moravskoslezsko („ROP MS“)</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Na základě provedené auditní činnosti byl vydán výrok, že řídící a kontrolní systémy zřízené pro účely Regionální operační program regionu soudržnosti NUTS II Moravskoslezsko byly v souladu s platnými požadavky článků 58 až 62 nařízení Rady (ES) </w:t>
      </w:r>
      <w:r w:rsidRPr="006F67E8">
        <w:rPr>
          <w:rFonts w:ascii="Times New Roman" w:hAnsi="Times New Roman"/>
          <w:sz w:val="24"/>
          <w:szCs w:val="24"/>
          <w:lang w:eastAsia="cs-CZ"/>
        </w:rPr>
        <w:lastRenderedPageBreak/>
        <w:t xml:space="preserve">č. 1083/2006 a oddílu 3 nařízení Komise (ES) č. 1828/2006, fungovaly účinně a poskytly tak přiměřenou jistotu, že výkazy výdajů předložené Komisi byly správné, a tudíž přiměřenou jistotu, že související transakce byly legální a řádné, s výjimkou těchto skutečností: </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 xml:space="preserve">nedostatečné řídící kontroly (čl. 60 písm. b) nařízení Rady č. 1083/2006 a čl. 13 odst. 2 nařízení Komise č. 1828/2006 (KP4 a KP7), </w:t>
      </w:r>
    </w:p>
    <w:p w:rsidR="00F27B03" w:rsidRPr="006F67E8" w:rsidRDefault="00F27B03" w:rsidP="00C20038">
      <w:pPr>
        <w:numPr>
          <w:ilvl w:val="0"/>
          <w:numId w:val="10"/>
        </w:numPr>
        <w:spacing w:after="0"/>
        <w:rPr>
          <w:rFonts w:ascii="Times New Roman" w:hAnsi="Times New Roman"/>
          <w:sz w:val="24"/>
          <w:szCs w:val="24"/>
          <w:lang w:eastAsia="cs-CZ"/>
        </w:rPr>
      </w:pPr>
      <w:r w:rsidRPr="006F67E8">
        <w:rPr>
          <w:rFonts w:ascii="Times New Roman" w:hAnsi="Times New Roman"/>
          <w:sz w:val="24"/>
          <w:szCs w:val="24"/>
          <w:lang w:eastAsia="cs-CZ"/>
        </w:rPr>
        <w:t xml:space="preserve">vedení policejního řízení u některých projektů financovaných z daného regionálního programu.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K tomuto názoru Auditní orgán dospěl na základě toho, že výsledky auditů operací v roce 2014 identifikovaly chyby ve výši 49 359 093,71 Kč, což představovalo projektovanou chybovost ve výši 1,92 % ověřovaných výdajů certifikovaných v roce 2013.</w:t>
      </w:r>
    </w:p>
    <w:p w:rsidR="00F27B03" w:rsidRPr="006F67E8" w:rsidRDefault="00F27B03" w:rsidP="00A12A7E">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Závěr hodnocení ze systémového auditu v roce 2014 je ohodnocen kategorií 2 – Systém funguje, ale jsou třeba určitá zlepšení, tak ŘKS je dostatečně účinný. V souvislosti se skutečností, že některé projekty jsou šetřeny Policií České republiky, tak Auditní orgán vydal Výroční stanovisko s výhradou.</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V případě ROP MS bylo v roce 2014 provedeno celkem 35 auditů operací. Certifikovaná hodnota vzorku činila 3 274 054 007,40 Kč, tj. 68,51 % celkových certifikovaných výdajů. Z počtu provedených 35 auditů bylo 19 auditů se zjištěním a 16 auditů bez zjištění. V největší míře se daná pochybení týkala veřejných zakázek (hlavně v</w:t>
      </w:r>
      <w:r>
        <w:rPr>
          <w:rFonts w:ascii="Times New Roman" w:hAnsi="Times New Roman"/>
          <w:sz w:val="24"/>
          <w:szCs w:val="24"/>
          <w:lang w:eastAsia="cs-CZ"/>
        </w:rPr>
        <w:t> </w:t>
      </w:r>
      <w:r w:rsidRPr="006F67E8">
        <w:rPr>
          <w:rFonts w:ascii="Times New Roman" w:hAnsi="Times New Roman"/>
          <w:sz w:val="24"/>
          <w:szCs w:val="24"/>
          <w:lang w:eastAsia="cs-CZ"/>
        </w:rPr>
        <w:t>oblasti nedodržení podmínek výběrového řízení a v oblasti možné diskriminace a</w:t>
      </w:r>
      <w:r>
        <w:rPr>
          <w:rFonts w:ascii="Times New Roman" w:hAnsi="Times New Roman"/>
          <w:sz w:val="24"/>
          <w:szCs w:val="24"/>
          <w:lang w:eastAsia="cs-CZ"/>
        </w:rPr>
        <w:t> </w:t>
      </w:r>
      <w:r w:rsidRPr="006F67E8">
        <w:rPr>
          <w:rFonts w:ascii="Times New Roman" w:hAnsi="Times New Roman"/>
          <w:sz w:val="24"/>
          <w:szCs w:val="24"/>
          <w:lang w:eastAsia="cs-CZ"/>
        </w:rPr>
        <w:t xml:space="preserve">netransparentnosti). Dále se pak objevovaly chyby v nesouladu fakturovaného stavu se skutečným stavem.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Projekty ROP MS byly v průběhu realizace auditů operací prověřovány Policií ČR, z tohoto důvodu bylo členům auditorských týmů dotčených auditů za přítomnosti orgánu Policie ČR umožněno ve smyslu ustanovení § 65 odst. 1 trestního řádu nahlédnout do daných trestních spisů, které obsahovaly dokumentaci k auditovaným projektům. Zjištění uváděná v</w:t>
      </w:r>
      <w:r>
        <w:rPr>
          <w:rFonts w:ascii="Times New Roman" w:hAnsi="Times New Roman"/>
          <w:sz w:val="24"/>
          <w:szCs w:val="24"/>
          <w:lang w:eastAsia="cs-CZ"/>
        </w:rPr>
        <w:t> </w:t>
      </w:r>
      <w:r w:rsidRPr="006F67E8">
        <w:rPr>
          <w:rFonts w:ascii="Times New Roman" w:hAnsi="Times New Roman"/>
          <w:sz w:val="24"/>
          <w:szCs w:val="24"/>
          <w:lang w:eastAsia="cs-CZ"/>
        </w:rPr>
        <w:t>těchto auditech vycházejí pouze z ověřeného stavu v době provádění auditních prací, </w:t>
      </w:r>
      <w:r w:rsidRPr="006F67E8">
        <w:rPr>
          <w:rFonts w:ascii="Times New Roman" w:hAnsi="Times New Roman"/>
          <w:sz w:val="24"/>
          <w:szCs w:val="24"/>
          <w:lang w:eastAsia="cs-CZ"/>
        </w:rPr>
        <w:br/>
        <w:t>na základě uvedených auditních technik a dostupných dokumentací. Pokud na základě šetření Policie ČR budou následně identifikován</w:t>
      </w:r>
      <w:r>
        <w:rPr>
          <w:rFonts w:ascii="Times New Roman" w:hAnsi="Times New Roman"/>
          <w:sz w:val="24"/>
          <w:szCs w:val="24"/>
          <w:lang w:eastAsia="cs-CZ"/>
        </w:rPr>
        <w:t>a</w:t>
      </w:r>
      <w:r w:rsidRPr="006F67E8">
        <w:rPr>
          <w:rFonts w:ascii="Times New Roman" w:hAnsi="Times New Roman"/>
          <w:sz w:val="24"/>
          <w:szCs w:val="24"/>
          <w:lang w:eastAsia="cs-CZ"/>
        </w:rPr>
        <w:t xml:space="preserve"> další</w:t>
      </w:r>
      <w:r>
        <w:rPr>
          <w:rFonts w:ascii="Times New Roman" w:hAnsi="Times New Roman"/>
          <w:sz w:val="24"/>
          <w:szCs w:val="24"/>
          <w:lang w:eastAsia="cs-CZ"/>
        </w:rPr>
        <w:t xml:space="preserve"> zjištění</w:t>
      </w:r>
      <w:r w:rsidRPr="006F67E8">
        <w:rPr>
          <w:rFonts w:ascii="Times New Roman" w:hAnsi="Times New Roman"/>
          <w:sz w:val="24"/>
          <w:szCs w:val="24"/>
          <w:lang w:eastAsia="cs-CZ"/>
        </w:rPr>
        <w:t>, mohou být závěry auditů revidovány.</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následujících oblastí:</w:t>
      </w:r>
    </w:p>
    <w:p w:rsidR="00F27B03" w:rsidRPr="006F67E8" w:rsidRDefault="00F27B03" w:rsidP="00C20038">
      <w:pPr>
        <w:numPr>
          <w:ilvl w:val="0"/>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Způsobilost nákladů</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Nesoulad mezi předloženou fakturací a zjištěnou skutečností: proplácení nevykonané práce/nedodaného zboží</w:t>
      </w:r>
      <w:r>
        <w:rPr>
          <w:rFonts w:ascii="Times New Roman" w:hAnsi="Times New Roman"/>
          <w:sz w:val="24"/>
          <w:szCs w:val="24"/>
          <w:lang w:eastAsia="cs-CZ"/>
        </w:rPr>
        <w:t>,</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Ceny v projektu neodpovídají tržním cenám (předražené EU projekty)</w:t>
      </w:r>
      <w:r>
        <w:rPr>
          <w:rFonts w:ascii="Times New Roman" w:hAnsi="Times New Roman"/>
          <w:sz w:val="24"/>
          <w:szCs w:val="24"/>
          <w:lang w:eastAsia="cs-CZ"/>
        </w:rPr>
        <w:t>.</w:t>
      </w:r>
    </w:p>
    <w:p w:rsidR="00F27B03" w:rsidRPr="006F67E8" w:rsidRDefault="00F27B03" w:rsidP="00C20038">
      <w:pPr>
        <w:numPr>
          <w:ilvl w:val="0"/>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lastRenderedPageBreak/>
        <w:t>Veřejné zakázky/zakázky</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Neuvedení - kritérií pro výběr v oznámení o zakázce, a/nebo – kritérií pro zadání zakázky (a jejich váhu) v oznámení o zakázce nebo v</w:t>
      </w:r>
      <w:r>
        <w:rPr>
          <w:rFonts w:ascii="Times New Roman" w:hAnsi="Times New Roman"/>
          <w:sz w:val="24"/>
          <w:szCs w:val="24"/>
          <w:lang w:eastAsia="cs-CZ"/>
        </w:rPr>
        <w:t> </w:t>
      </w:r>
      <w:r w:rsidRPr="006F67E8">
        <w:rPr>
          <w:rFonts w:ascii="Times New Roman" w:hAnsi="Times New Roman"/>
          <w:sz w:val="24"/>
          <w:szCs w:val="24"/>
          <w:lang w:eastAsia="cs-CZ"/>
        </w:rPr>
        <w:t>zadávacích podmínkách</w:t>
      </w:r>
      <w:r>
        <w:rPr>
          <w:rFonts w:ascii="Times New Roman" w:hAnsi="Times New Roman"/>
          <w:sz w:val="24"/>
          <w:szCs w:val="24"/>
          <w:lang w:eastAsia="cs-CZ"/>
        </w:rPr>
        <w:t>,</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Kritéria pro výběr se nevztahují k předmětu zakázky a nejsou mu úměrná</w:t>
      </w:r>
      <w:r>
        <w:rPr>
          <w:rFonts w:ascii="Times New Roman" w:hAnsi="Times New Roman"/>
          <w:sz w:val="24"/>
          <w:szCs w:val="24"/>
          <w:lang w:eastAsia="cs-CZ"/>
        </w:rPr>
        <w:t>,</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Diskriminační technické specifikace</w:t>
      </w:r>
      <w:r>
        <w:rPr>
          <w:rFonts w:ascii="Times New Roman" w:hAnsi="Times New Roman"/>
          <w:sz w:val="24"/>
          <w:szCs w:val="24"/>
          <w:lang w:eastAsia="cs-CZ"/>
        </w:rPr>
        <w:t>,</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Změna kritérií pro výběr po otevření nabídek, jež vede k nesprávnému odmítnutí uchazečů</w:t>
      </w:r>
      <w:r>
        <w:rPr>
          <w:rFonts w:ascii="Times New Roman" w:hAnsi="Times New Roman"/>
          <w:sz w:val="24"/>
          <w:szCs w:val="24"/>
          <w:lang w:eastAsia="cs-CZ"/>
        </w:rPr>
        <w:t>,</w:t>
      </w:r>
    </w:p>
    <w:p w:rsidR="00F27B03" w:rsidRPr="006F67E8" w:rsidRDefault="00F27B03" w:rsidP="00C20038">
      <w:pPr>
        <w:numPr>
          <w:ilvl w:val="1"/>
          <w:numId w:val="15"/>
        </w:numPr>
        <w:spacing w:after="0"/>
        <w:contextualSpacing/>
        <w:rPr>
          <w:rFonts w:ascii="Times New Roman" w:hAnsi="Times New Roman"/>
          <w:sz w:val="24"/>
          <w:szCs w:val="24"/>
          <w:lang w:eastAsia="cs-CZ"/>
        </w:rPr>
      </w:pPr>
      <w:r w:rsidRPr="006F67E8">
        <w:rPr>
          <w:rFonts w:ascii="Times New Roman" w:hAnsi="Times New Roman"/>
          <w:sz w:val="24"/>
          <w:szCs w:val="24"/>
          <w:lang w:eastAsia="cs-CZ"/>
        </w:rPr>
        <w:t>Podstatná změna prvků smlouvy uvedených v oznámení o zakázce nebo zadávacích podmínkách.</w:t>
      </w:r>
    </w:p>
    <w:p w:rsidR="00F27B03" w:rsidRPr="006F67E8" w:rsidRDefault="00F27B03" w:rsidP="00903D85">
      <w:pPr>
        <w:rPr>
          <w:rFonts w:ascii="Times New Roman" w:hAnsi="Times New Roman"/>
          <w:sz w:val="24"/>
          <w:szCs w:val="24"/>
          <w:lang w:eastAsia="cs-CZ"/>
        </w:rPr>
      </w:pPr>
    </w:p>
    <w:p w:rsidR="00F27B03" w:rsidRPr="006F67E8"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 xml:space="preserve">Operační program Praha </w:t>
      </w:r>
      <w:r>
        <w:rPr>
          <w:rFonts w:ascii="Times New Roman" w:hAnsi="Times New Roman"/>
          <w:b/>
          <w:sz w:val="24"/>
          <w:szCs w:val="24"/>
          <w:lang w:eastAsia="cs-CZ"/>
        </w:rPr>
        <w:t>– Konkurenceschopnost („OP PK“)</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Na základě provedené auditní činnost byl vydán výrok, že řídící a kontrolní systémy zřízené pro účely Operačního programu Praha – Konkurenceschopnost, CCI </w:t>
      </w:r>
      <w:r w:rsidRPr="006F67E8">
        <w:rPr>
          <w:rFonts w:ascii="Times New Roman" w:hAnsi="Times New Roman" w:cs="EUAlbertina-Regular-Identity-H"/>
          <w:sz w:val="24"/>
          <w:szCs w:val="20"/>
          <w:lang w:eastAsia="cs-CZ"/>
        </w:rPr>
        <w:t>2007CZ162PO001 byly v souladu s platnými požadavky čl. 58 až 62 nařízení Rady (ES) č.</w:t>
      </w:r>
      <w:r>
        <w:rPr>
          <w:rFonts w:ascii="Times New Roman" w:hAnsi="Times New Roman" w:cs="EUAlbertina-Regular-Identity-H"/>
          <w:sz w:val="24"/>
          <w:szCs w:val="20"/>
          <w:lang w:eastAsia="cs-CZ"/>
        </w:rPr>
        <w:t> </w:t>
      </w:r>
      <w:r w:rsidRPr="006F67E8">
        <w:rPr>
          <w:rFonts w:ascii="Times New Roman" w:hAnsi="Times New Roman"/>
          <w:sz w:val="24"/>
          <w:szCs w:val="24"/>
          <w:lang w:eastAsia="cs-CZ"/>
        </w:rPr>
        <w:t>1083/2006 a oddílu 3 nařízení komise (ES) č. 1828 s výjimkou nedostatečné řídící kontroly (čl. 60 písm. b) nařízení Rady č. 1083/2006 a čl. 13 odst. 2 nařízení Komise č. 1828/2006 (KP4), tj. výrok s výhradou.</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K názoru, že tento aspekt systému nesplnil požadavky na něj kladené tak, aby mohl poskytnout přiměřenou záruku toho, že jsou výkazy výdajů předložené Komisi správné, vede to, že výsledky auditů operací identifikovaly vyšší chybovost než je přípustná (2 %). Z auditů operací vyplývá za dané období extrapolovaná chybovost ve výši 3,63%.</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Na základě výsledků auditů systému byl řídící a kontrolní systém OP PK klasifikován v kategorii 2 – systém funguje, ale jsou zapotřebí určitá zlepšení.</w:t>
      </w:r>
    </w:p>
    <w:p w:rsidR="00F27B03" w:rsidRPr="006F67E8" w:rsidRDefault="00F27B03" w:rsidP="009761CF">
      <w:pPr>
        <w:suppressAutoHyphens/>
        <w:autoSpaceDE w:val="0"/>
        <w:spacing w:after="0"/>
        <w:ind w:firstLine="709"/>
        <w:rPr>
          <w:rFonts w:ascii="Times New Roman" w:hAnsi="Times New Roman"/>
          <w:sz w:val="24"/>
          <w:szCs w:val="24"/>
          <w:lang w:eastAsia="cs-CZ"/>
        </w:rPr>
      </w:pPr>
      <w:r w:rsidRPr="006F67E8">
        <w:rPr>
          <w:rFonts w:ascii="Times New Roman" w:hAnsi="Times New Roman"/>
          <w:sz w:val="24"/>
          <w:szCs w:val="24"/>
          <w:lang w:eastAsia="cs-CZ"/>
        </w:rPr>
        <w:t>V roce 2014 byly provedeny 23 plánované audity operací, přičemž auditované výdaje představovaly hodnotu 1 458 619 417,58 Kč (tj.</w:t>
      </w:r>
      <w:r>
        <w:rPr>
          <w:rFonts w:ascii="Times New Roman" w:hAnsi="Times New Roman"/>
          <w:sz w:val="24"/>
          <w:szCs w:val="24"/>
          <w:lang w:eastAsia="cs-CZ"/>
        </w:rPr>
        <w:t xml:space="preserve"> </w:t>
      </w:r>
      <w:r w:rsidRPr="006F67E8">
        <w:rPr>
          <w:rFonts w:ascii="Times New Roman" w:hAnsi="Times New Roman"/>
          <w:sz w:val="24"/>
          <w:szCs w:val="24"/>
          <w:lang w:eastAsia="cs-CZ"/>
        </w:rPr>
        <w:t>67,38</w:t>
      </w:r>
      <w:r>
        <w:rPr>
          <w:rFonts w:ascii="Times New Roman" w:hAnsi="Times New Roman"/>
          <w:sz w:val="24"/>
          <w:szCs w:val="24"/>
          <w:lang w:eastAsia="cs-CZ"/>
        </w:rPr>
        <w:t xml:space="preserve"> </w:t>
      </w:r>
      <w:r w:rsidRPr="006F67E8">
        <w:rPr>
          <w:rFonts w:ascii="Times New Roman" w:hAnsi="Times New Roman"/>
          <w:sz w:val="24"/>
          <w:szCs w:val="24"/>
          <w:lang w:eastAsia="cs-CZ"/>
        </w:rPr>
        <w:t xml:space="preserve">% celkových certifikovaných výdajů roku 2013).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Nejčastější a nejzávažnější zjištění identifikovaná při auditech operací se dají shrnout do následujících oblastí:</w:t>
      </w:r>
    </w:p>
    <w:p w:rsidR="00F27B03" w:rsidRPr="00EB4440" w:rsidRDefault="00F27B03" w:rsidP="00EB4440">
      <w:pPr>
        <w:pStyle w:val="Odstavecseseznamem"/>
        <w:numPr>
          <w:ilvl w:val="0"/>
          <w:numId w:val="38"/>
        </w:numPr>
        <w:spacing w:after="0"/>
        <w:rPr>
          <w:rFonts w:ascii="Times New Roman" w:hAnsi="Times New Roman"/>
          <w:sz w:val="24"/>
          <w:szCs w:val="24"/>
          <w:lang w:eastAsia="cs-CZ"/>
        </w:rPr>
      </w:pPr>
      <w:r>
        <w:rPr>
          <w:rFonts w:ascii="Times New Roman" w:hAnsi="Times New Roman"/>
          <w:sz w:val="24"/>
          <w:szCs w:val="24"/>
          <w:lang w:eastAsia="cs-CZ"/>
        </w:rPr>
        <w:t>D</w:t>
      </w:r>
      <w:r w:rsidRPr="00EB4440">
        <w:rPr>
          <w:rFonts w:ascii="Times New Roman" w:hAnsi="Times New Roman"/>
          <w:sz w:val="24"/>
          <w:szCs w:val="24"/>
          <w:lang w:eastAsia="cs-CZ"/>
        </w:rPr>
        <w:t>iskriminačně stanovené kvalifikační předpoklady vyhlašovaných (veřejných) zakázek,</w:t>
      </w:r>
    </w:p>
    <w:p w:rsidR="00F27B03" w:rsidRPr="00EB4440" w:rsidRDefault="00F27B03" w:rsidP="00EB4440">
      <w:pPr>
        <w:pStyle w:val="Odstavecseseznamem"/>
        <w:numPr>
          <w:ilvl w:val="0"/>
          <w:numId w:val="38"/>
        </w:numPr>
        <w:spacing w:after="0"/>
        <w:rPr>
          <w:rFonts w:ascii="Times New Roman" w:hAnsi="Times New Roman"/>
          <w:sz w:val="24"/>
          <w:szCs w:val="24"/>
          <w:lang w:eastAsia="cs-CZ"/>
        </w:rPr>
      </w:pPr>
      <w:r w:rsidRPr="00EB4440">
        <w:rPr>
          <w:rFonts w:ascii="Times New Roman" w:hAnsi="Times New Roman"/>
          <w:sz w:val="24"/>
          <w:szCs w:val="24"/>
          <w:lang w:eastAsia="cs-CZ"/>
        </w:rPr>
        <w:t>Nedoložení způsobu stanovení předpokládané hodnoty VZ</w:t>
      </w:r>
    </w:p>
    <w:p w:rsidR="00F27B03" w:rsidRPr="00EB4440" w:rsidRDefault="00F27B03" w:rsidP="00EB4440">
      <w:pPr>
        <w:pStyle w:val="Odstavecseseznamem"/>
        <w:numPr>
          <w:ilvl w:val="0"/>
          <w:numId w:val="38"/>
        </w:numPr>
        <w:spacing w:after="0"/>
        <w:rPr>
          <w:rFonts w:ascii="Times New Roman" w:hAnsi="Times New Roman"/>
          <w:sz w:val="24"/>
          <w:szCs w:val="24"/>
          <w:lang w:eastAsia="cs-CZ"/>
        </w:rPr>
      </w:pPr>
      <w:r w:rsidRPr="00EB4440">
        <w:rPr>
          <w:rFonts w:ascii="Times New Roman" w:hAnsi="Times New Roman"/>
          <w:sz w:val="24"/>
          <w:szCs w:val="24"/>
          <w:lang w:eastAsia="cs-CZ"/>
        </w:rPr>
        <w:lastRenderedPageBreak/>
        <w:t>Porušení rovného zacházení uchazečů (vyloučení/možnost doplnění dokumentace jen některým uchazečům</w:t>
      </w:r>
      <w:r>
        <w:rPr>
          <w:rFonts w:ascii="Times New Roman" w:hAnsi="Times New Roman"/>
          <w:sz w:val="24"/>
          <w:szCs w:val="24"/>
          <w:lang w:eastAsia="cs-CZ"/>
        </w:rPr>
        <w:t>,</w:t>
      </w:r>
    </w:p>
    <w:p w:rsidR="00F27B03" w:rsidRPr="00EB4440" w:rsidRDefault="00F27B03" w:rsidP="00EB4440">
      <w:pPr>
        <w:pStyle w:val="Odstavecseseznamem"/>
        <w:numPr>
          <w:ilvl w:val="0"/>
          <w:numId w:val="38"/>
        </w:numPr>
        <w:spacing w:after="0"/>
        <w:rPr>
          <w:rFonts w:ascii="Times New Roman" w:hAnsi="Times New Roman"/>
          <w:sz w:val="24"/>
          <w:szCs w:val="24"/>
          <w:lang w:eastAsia="cs-CZ"/>
        </w:rPr>
      </w:pPr>
      <w:r w:rsidRPr="00EB4440">
        <w:rPr>
          <w:rFonts w:ascii="Times New Roman" w:hAnsi="Times New Roman"/>
          <w:sz w:val="24"/>
          <w:szCs w:val="24"/>
          <w:lang w:eastAsia="cs-CZ"/>
        </w:rPr>
        <w:t>Volba špatného/jiného druhu zadávacího řízení: porušení limitů pro VZ</w:t>
      </w:r>
      <w:r>
        <w:rPr>
          <w:rFonts w:ascii="Times New Roman" w:hAnsi="Times New Roman"/>
          <w:sz w:val="24"/>
          <w:szCs w:val="24"/>
          <w:lang w:eastAsia="cs-CZ"/>
        </w:rPr>
        <w:t>,</w:t>
      </w:r>
      <w:r w:rsidRPr="00EB4440">
        <w:rPr>
          <w:rFonts w:ascii="Times New Roman" w:hAnsi="Times New Roman"/>
          <w:sz w:val="24"/>
          <w:szCs w:val="24"/>
          <w:lang w:eastAsia="cs-CZ"/>
        </w:rPr>
        <w:t xml:space="preserve"> </w:t>
      </w:r>
    </w:p>
    <w:p w:rsidR="00F27B03" w:rsidRPr="00EB4440" w:rsidRDefault="00F27B03" w:rsidP="00EB4440">
      <w:pPr>
        <w:pStyle w:val="Odstavecseseznamem"/>
        <w:numPr>
          <w:ilvl w:val="0"/>
          <w:numId w:val="38"/>
        </w:numPr>
        <w:spacing w:after="0"/>
        <w:rPr>
          <w:rFonts w:ascii="Times New Roman" w:hAnsi="Times New Roman"/>
          <w:sz w:val="24"/>
          <w:szCs w:val="24"/>
          <w:lang w:eastAsia="cs-CZ"/>
        </w:rPr>
      </w:pPr>
      <w:r w:rsidRPr="00EB4440">
        <w:rPr>
          <w:rFonts w:ascii="Times New Roman" w:hAnsi="Times New Roman"/>
          <w:sz w:val="24"/>
          <w:szCs w:val="24"/>
          <w:lang w:eastAsia="cs-CZ"/>
        </w:rPr>
        <w:t>Nezveřejnění v</w:t>
      </w:r>
      <w:r>
        <w:rPr>
          <w:rFonts w:ascii="Times New Roman" w:hAnsi="Times New Roman"/>
          <w:sz w:val="24"/>
          <w:szCs w:val="24"/>
          <w:lang w:eastAsia="cs-CZ"/>
        </w:rPr>
        <w:t> </w:t>
      </w:r>
      <w:r w:rsidRPr="00EB4440">
        <w:rPr>
          <w:rFonts w:ascii="Times New Roman" w:hAnsi="Times New Roman"/>
          <w:sz w:val="24"/>
          <w:szCs w:val="24"/>
          <w:lang w:eastAsia="cs-CZ"/>
        </w:rPr>
        <w:t>TED</w:t>
      </w:r>
      <w:r>
        <w:rPr>
          <w:rFonts w:ascii="Times New Roman" w:hAnsi="Times New Roman"/>
          <w:sz w:val="24"/>
          <w:szCs w:val="24"/>
          <w:lang w:eastAsia="cs-CZ"/>
        </w:rPr>
        <w:t>.</w:t>
      </w:r>
    </w:p>
    <w:p w:rsidR="00F27B03" w:rsidRPr="006F67E8" w:rsidRDefault="00F27B03" w:rsidP="00903D85">
      <w:pPr>
        <w:ind w:firstLine="709"/>
        <w:rPr>
          <w:rFonts w:ascii="Times New Roman" w:hAnsi="Times New Roman"/>
          <w:sz w:val="24"/>
          <w:szCs w:val="24"/>
          <w:lang w:eastAsia="cs-CZ"/>
        </w:rPr>
      </w:pPr>
    </w:p>
    <w:p w:rsidR="00F27B03" w:rsidRPr="006F67E8" w:rsidRDefault="00F27B03" w:rsidP="00A12A7E">
      <w:pPr>
        <w:rPr>
          <w:rFonts w:ascii="Times New Roman" w:hAnsi="Times New Roman"/>
          <w:b/>
          <w:sz w:val="24"/>
          <w:szCs w:val="24"/>
          <w:lang w:eastAsia="cs-CZ"/>
        </w:rPr>
      </w:pPr>
      <w:r w:rsidRPr="006F67E8">
        <w:rPr>
          <w:rFonts w:ascii="Times New Roman" w:hAnsi="Times New Roman"/>
          <w:b/>
          <w:sz w:val="24"/>
          <w:szCs w:val="24"/>
          <w:lang w:eastAsia="cs-CZ"/>
        </w:rPr>
        <w:t>Ope</w:t>
      </w:r>
      <w:r>
        <w:rPr>
          <w:rFonts w:ascii="Times New Roman" w:hAnsi="Times New Roman"/>
          <w:b/>
          <w:sz w:val="24"/>
          <w:szCs w:val="24"/>
          <w:lang w:eastAsia="cs-CZ"/>
        </w:rPr>
        <w:t>rační program Rybářství („OPR“)</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roce 2013 neproběhla žádná certifikace výdajů OPR z důvodu zjištěných závažných nedostatků v Řídících a kontrolních systémech (dále jen „ŘKS“) u Řídícího orgánu OPR (dále jen „ŘO“) a následného pozastavení plateb ze strany Certifikačního orgánu (dále jen „CO“). Vzhledem k těmto závažným skutečnostem nebyla také ze strany EK přijata VKZ 2013. Začátkem roku byly dokončeny 3 audity systému pokrývající všechny klíčové požadavky vztahujících se k CO a ŘO a následně přijata i VKZ 2013 z důvodu ujištění, že nejzávažnější nedostatky vyplývající z auditů systémů byly odstraněny.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Z důvodu necertifikace v roce 2013 nebyl standardním způsobem vybrán vzorek operací pro rok 2014. V polovině roku 2014 si však EK vyžádala provedení mimořádných auditů operací vybraných ze všech výdajů certifikovaných do konce roku 2010. Vzhledem k chybějícím datům potřebným pro statistický výběr vzorku operací byl zvolen výběr vzorku pomocí pilotního vzorku operací (tj. 20 auditů operací) a následného do výběru. Tento pilotní vzorek byl dokončen koncem roku 2014 a závěry z těchto auditů uvedeny ve VKZ 2014. Na základě statistických dat získaných z tohoto pilotního vzorku byl začátkem roku 2015 dovybrán vzorek operací (tj. 15 auditů operací). Jejich audit bude dokončen v předpokládaném termínu do 31.</w:t>
      </w:r>
      <w:r>
        <w:rPr>
          <w:rFonts w:ascii="Times New Roman" w:hAnsi="Times New Roman"/>
          <w:sz w:val="24"/>
          <w:szCs w:val="24"/>
          <w:lang w:eastAsia="cs-CZ"/>
        </w:rPr>
        <w:t xml:space="preserve"> </w:t>
      </w:r>
      <w:r w:rsidRPr="006F67E8">
        <w:rPr>
          <w:rFonts w:ascii="Times New Roman" w:hAnsi="Times New Roman"/>
          <w:sz w:val="24"/>
          <w:szCs w:val="24"/>
          <w:lang w:eastAsia="cs-CZ"/>
        </w:rPr>
        <w:t>3.</w:t>
      </w:r>
      <w:r>
        <w:rPr>
          <w:rFonts w:ascii="Times New Roman" w:hAnsi="Times New Roman"/>
          <w:sz w:val="24"/>
          <w:szCs w:val="24"/>
          <w:lang w:eastAsia="cs-CZ"/>
        </w:rPr>
        <w:t xml:space="preserve"> </w:t>
      </w:r>
      <w:r w:rsidRPr="006F67E8">
        <w:rPr>
          <w:rFonts w:ascii="Times New Roman" w:hAnsi="Times New Roman"/>
          <w:sz w:val="24"/>
          <w:szCs w:val="24"/>
          <w:lang w:eastAsia="cs-CZ"/>
        </w:rPr>
        <w:t>2015 a uveden ve VKZ 2015.</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 xml:space="preserve">V případě OPR bylo tedy v roce 2014 provedeno celkem 20 mimořádných auditů operací. Zauditována byla částka 80 881 063,67 Kč, tj. 43,91% z celkových certifikovaných výdajů do konce roku 2010. </w:t>
      </w:r>
    </w:p>
    <w:p w:rsidR="00F27B03" w:rsidRPr="006F67E8" w:rsidRDefault="00F27B03" w:rsidP="009761CF">
      <w:pPr>
        <w:spacing w:after="0"/>
        <w:ind w:firstLine="708"/>
        <w:rPr>
          <w:rFonts w:ascii="Times New Roman" w:hAnsi="Times New Roman"/>
          <w:sz w:val="24"/>
          <w:szCs w:val="24"/>
          <w:lang w:eastAsia="cs-CZ"/>
        </w:rPr>
      </w:pPr>
      <w:r w:rsidRPr="006F67E8">
        <w:rPr>
          <w:rFonts w:ascii="Times New Roman" w:hAnsi="Times New Roman"/>
          <w:sz w:val="24"/>
          <w:szCs w:val="24"/>
          <w:lang w:eastAsia="cs-CZ"/>
        </w:rPr>
        <w:t>Dále byly také dokončeny 3 audity systému, na základě jejichž výsledků byla ze strany AO zrevidována VKZ 2013 a následně komisí opětovně povolena certifikace výdajů OPR.</w:t>
      </w:r>
    </w:p>
    <w:p w:rsidR="00F27B03" w:rsidRPr="00432E4F" w:rsidRDefault="00F27B03" w:rsidP="00432E4F">
      <w:pPr>
        <w:spacing w:line="480" w:lineRule="auto"/>
        <w:rPr>
          <w:rFonts w:ascii="Times New Roman" w:hAnsi="Times New Roman"/>
          <w:sz w:val="24"/>
          <w:szCs w:val="24"/>
        </w:rPr>
      </w:pPr>
    </w:p>
    <w:sectPr w:rsidR="00F27B03" w:rsidRPr="00432E4F" w:rsidSect="00033ACB">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03" w:rsidRDefault="00F27B03" w:rsidP="00033ACB">
      <w:pPr>
        <w:spacing w:after="0" w:line="240" w:lineRule="auto"/>
      </w:pPr>
      <w:r>
        <w:separator/>
      </w:r>
    </w:p>
  </w:endnote>
  <w:endnote w:type="continuationSeparator" w:id="0">
    <w:p w:rsidR="00F27B03" w:rsidRDefault="00F27B03" w:rsidP="0003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EUAlbertina-Regular-Identity-H">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03" w:rsidRDefault="0062623A">
    <w:pPr>
      <w:pStyle w:val="Zpat"/>
      <w:jc w:val="right"/>
    </w:pPr>
    <w:r>
      <w:fldChar w:fldCharType="begin"/>
    </w:r>
    <w:r>
      <w:instrText>PAGE   \* MERGEFORMAT</w:instrText>
    </w:r>
    <w:r>
      <w:fldChar w:fldCharType="separate"/>
    </w:r>
    <w:r w:rsidR="008A6425">
      <w:rPr>
        <w:noProof/>
      </w:rPr>
      <w:t>1</w:t>
    </w:r>
    <w:r>
      <w:rPr>
        <w:noProof/>
      </w:rPr>
      <w:fldChar w:fldCharType="end"/>
    </w:r>
  </w:p>
  <w:p w:rsidR="00F27B03" w:rsidRDefault="00F27B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03" w:rsidRDefault="00F27B03" w:rsidP="00033ACB">
      <w:pPr>
        <w:spacing w:after="0" w:line="240" w:lineRule="auto"/>
      </w:pPr>
      <w:r>
        <w:separator/>
      </w:r>
    </w:p>
  </w:footnote>
  <w:footnote w:type="continuationSeparator" w:id="0">
    <w:p w:rsidR="00F27B03" w:rsidRDefault="00F27B03" w:rsidP="00033ACB">
      <w:pPr>
        <w:spacing w:after="0" w:line="240" w:lineRule="auto"/>
      </w:pPr>
      <w:r>
        <w:continuationSeparator/>
      </w:r>
    </w:p>
  </w:footnote>
  <w:footnote w:id="1">
    <w:p w:rsidR="00F27B03" w:rsidRPr="00EB4440" w:rsidRDefault="00F27B03" w:rsidP="00EB4440">
      <w:pPr>
        <w:spacing w:line="240" w:lineRule="auto"/>
        <w:rPr>
          <w:rFonts w:ascii="Times New Roman" w:hAnsi="Times New Roman"/>
          <w:sz w:val="20"/>
          <w:szCs w:val="20"/>
        </w:rPr>
      </w:pPr>
      <w:r w:rsidRPr="00EB4440">
        <w:rPr>
          <w:rStyle w:val="Znakapoznpodarou"/>
          <w:rFonts w:ascii="Times New Roman" w:hAnsi="Times New Roman"/>
          <w:sz w:val="20"/>
          <w:szCs w:val="20"/>
        </w:rPr>
        <w:footnoteRef/>
      </w:r>
      <w:r w:rsidRPr="00EB4440">
        <w:rPr>
          <w:rFonts w:ascii="Times New Roman" w:hAnsi="Times New Roman"/>
          <w:sz w:val="20"/>
          <w:szCs w:val="20"/>
        </w:rPr>
        <w:t xml:space="preserve"> </w:t>
      </w:r>
      <w:r w:rsidRPr="00EB4440">
        <w:rPr>
          <w:rFonts w:ascii="Times New Roman" w:hAnsi="Times New Roman"/>
          <w:i/>
          <w:sz w:val="20"/>
          <w:szCs w:val="20"/>
        </w:rPr>
        <w:t>Do součtu jsou zahrnuty nově nahlášené nesrovnalosti, které byly v roce 2014 uzavřeny na základě nepotvrzeného podezření.</w:t>
      </w:r>
    </w:p>
    <w:p w:rsidR="00F27B03" w:rsidRDefault="00F27B03" w:rsidP="00EB4440">
      <w:pPr>
        <w:spacing w:line="240" w:lineRule="auto"/>
      </w:pPr>
    </w:p>
  </w:footnote>
  <w:footnote w:id="2">
    <w:p w:rsidR="00F27B03" w:rsidRPr="00EB4440" w:rsidRDefault="00F27B03" w:rsidP="00EB4440">
      <w:pPr>
        <w:spacing w:line="240" w:lineRule="auto"/>
        <w:rPr>
          <w:rFonts w:ascii="Times New Roman" w:hAnsi="Times New Roman"/>
          <w:sz w:val="20"/>
          <w:szCs w:val="20"/>
        </w:rPr>
      </w:pPr>
      <w:r w:rsidRPr="00EB4440">
        <w:rPr>
          <w:rStyle w:val="Znakapoznpodarou"/>
          <w:rFonts w:ascii="Times New Roman" w:hAnsi="Times New Roman"/>
          <w:sz w:val="20"/>
          <w:szCs w:val="20"/>
        </w:rPr>
        <w:footnoteRef/>
      </w:r>
      <w:r w:rsidRPr="00EB4440">
        <w:rPr>
          <w:rFonts w:ascii="Times New Roman" w:hAnsi="Times New Roman"/>
          <w:sz w:val="20"/>
          <w:szCs w:val="20"/>
        </w:rPr>
        <w:t xml:space="preserve"> </w:t>
      </w:r>
      <w:r w:rsidRPr="00EB4440">
        <w:rPr>
          <w:rStyle w:val="Znakapoznpodarou"/>
          <w:rFonts w:ascii="Times New Roman" w:hAnsi="Times New Roman"/>
          <w:sz w:val="20"/>
          <w:szCs w:val="20"/>
        </w:rPr>
        <w:sym w:font="Symbol" w:char="F02A"/>
      </w:r>
      <w:r w:rsidRPr="00EB4440">
        <w:rPr>
          <w:rFonts w:ascii="Times New Roman" w:hAnsi="Times New Roman"/>
          <w:sz w:val="20"/>
          <w:szCs w:val="20"/>
        </w:rPr>
        <w:t xml:space="preserve"> </w:t>
      </w:r>
      <w:r w:rsidRPr="00EB4440">
        <w:rPr>
          <w:rFonts w:ascii="Times New Roman" w:hAnsi="Times New Roman"/>
          <w:i/>
          <w:sz w:val="20"/>
          <w:szCs w:val="20"/>
        </w:rPr>
        <w:t>Do součtu jsou zahrnuty nově nahlášené nesrovnalosti, které byly v roce 2014 uzavřeny na základě nepotvrzeného podezření.</w:t>
      </w:r>
    </w:p>
    <w:p w:rsidR="00F27B03" w:rsidRDefault="00F27B03" w:rsidP="00EB444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C624C608"/>
    <w:lvl w:ilvl="0">
      <w:start w:val="3"/>
      <w:numFmt w:val="upperRoman"/>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B4AE2312"/>
    <w:lvl w:ilvl="0">
      <w:start w:val="4"/>
      <w:numFmt w:val="upperRoman"/>
      <w:lvlText w:val="%1."/>
      <w:lvlJc w:val="left"/>
      <w:pPr>
        <w:tabs>
          <w:tab w:val="num" w:pos="1854"/>
        </w:tabs>
        <w:ind w:left="1854" w:hanging="360"/>
      </w:pPr>
      <w:rPr>
        <w:rFonts w:cs="Times New Roman"/>
        <w:b/>
      </w:rPr>
    </w:lvl>
    <w:lvl w:ilvl="1">
      <w:start w:val="1"/>
      <w:numFmt w:val="decimal"/>
      <w:lvlText w:val="%2."/>
      <w:lvlJc w:val="left"/>
      <w:pPr>
        <w:tabs>
          <w:tab w:val="num" w:pos="2214"/>
        </w:tabs>
        <w:ind w:left="2214" w:hanging="360"/>
      </w:pPr>
      <w:rPr>
        <w:rFonts w:cs="Times New Roman"/>
      </w:rPr>
    </w:lvl>
    <w:lvl w:ilvl="2">
      <w:start w:val="1"/>
      <w:numFmt w:val="decimal"/>
      <w:lvlText w:val="%3."/>
      <w:lvlJc w:val="left"/>
      <w:pPr>
        <w:tabs>
          <w:tab w:val="num" w:pos="2574"/>
        </w:tabs>
        <w:ind w:left="2574" w:hanging="360"/>
      </w:pPr>
      <w:rPr>
        <w:rFonts w:cs="Times New Roman"/>
      </w:rPr>
    </w:lvl>
    <w:lvl w:ilvl="3">
      <w:start w:val="1"/>
      <w:numFmt w:val="decimal"/>
      <w:lvlText w:val="%4."/>
      <w:lvlJc w:val="left"/>
      <w:pPr>
        <w:tabs>
          <w:tab w:val="num" w:pos="2934"/>
        </w:tabs>
        <w:ind w:left="293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3654"/>
        </w:tabs>
        <w:ind w:left="3654" w:hanging="360"/>
      </w:pPr>
      <w:rPr>
        <w:rFonts w:cs="Times New Roman"/>
      </w:rPr>
    </w:lvl>
    <w:lvl w:ilvl="6">
      <w:start w:val="1"/>
      <w:numFmt w:val="decimal"/>
      <w:lvlText w:val="%7."/>
      <w:lvlJc w:val="left"/>
      <w:pPr>
        <w:tabs>
          <w:tab w:val="num" w:pos="4014"/>
        </w:tabs>
        <w:ind w:left="4014" w:hanging="360"/>
      </w:pPr>
      <w:rPr>
        <w:rFonts w:cs="Times New Roman"/>
      </w:rPr>
    </w:lvl>
    <w:lvl w:ilvl="7">
      <w:start w:val="1"/>
      <w:numFmt w:val="decimal"/>
      <w:lvlText w:val="%8."/>
      <w:lvlJc w:val="left"/>
      <w:pPr>
        <w:tabs>
          <w:tab w:val="num" w:pos="4374"/>
        </w:tabs>
        <w:ind w:left="4374" w:hanging="360"/>
      </w:pPr>
      <w:rPr>
        <w:rFonts w:cs="Times New Roman"/>
      </w:rPr>
    </w:lvl>
    <w:lvl w:ilvl="8">
      <w:start w:val="1"/>
      <w:numFmt w:val="decimal"/>
      <w:lvlText w:val="%9."/>
      <w:lvlJc w:val="left"/>
      <w:pPr>
        <w:tabs>
          <w:tab w:val="num" w:pos="4734"/>
        </w:tabs>
        <w:ind w:left="4734" w:hanging="360"/>
      </w:pPr>
      <w:rPr>
        <w:rFonts w:cs="Times New Roman"/>
      </w:rPr>
    </w:lvl>
  </w:abstractNum>
  <w:abstractNum w:abstractNumId="3">
    <w:nsid w:val="00000006"/>
    <w:multiLevelType w:val="multilevel"/>
    <w:tmpl w:val="B6F45A92"/>
    <w:lvl w:ilvl="0">
      <w:start w:val="5"/>
      <w:numFmt w:val="upperRoman"/>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1CEE2A9A"/>
    <w:lvl w:ilvl="0">
      <w:start w:val="6"/>
      <w:numFmt w:val="upperRoman"/>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D01C6BB4"/>
    <w:lvl w:ilvl="0">
      <w:start w:val="7"/>
      <w:numFmt w:val="upperRoman"/>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C"/>
    <w:multiLevelType w:val="multilevel"/>
    <w:tmpl w:val="0000001C"/>
    <w:lvl w:ilvl="0">
      <w:start w:val="1"/>
      <w:numFmt w:val="bullet"/>
      <w:lvlText w:val=""/>
      <w:lvlJc w:val="left"/>
      <w:pPr>
        <w:tabs>
          <w:tab w:val="num" w:pos="746"/>
        </w:tabs>
        <w:ind w:left="746" w:hanging="360"/>
      </w:pPr>
      <w:rPr>
        <w:rFonts w:ascii="Symbol" w:hAnsi="Symbol"/>
      </w:rPr>
    </w:lvl>
    <w:lvl w:ilvl="1">
      <w:start w:val="1"/>
      <w:numFmt w:val="bullet"/>
      <w:lvlText w:val="◦"/>
      <w:lvlJc w:val="left"/>
      <w:pPr>
        <w:tabs>
          <w:tab w:val="num" w:pos="1106"/>
        </w:tabs>
        <w:ind w:left="1106" w:hanging="360"/>
      </w:pPr>
      <w:rPr>
        <w:rFonts w:ascii="OpenSymbol" w:eastAsia="OpenSymbol"/>
      </w:rPr>
    </w:lvl>
    <w:lvl w:ilvl="2">
      <w:start w:val="1"/>
      <w:numFmt w:val="bullet"/>
      <w:lvlText w:val="▪"/>
      <w:lvlJc w:val="left"/>
      <w:pPr>
        <w:tabs>
          <w:tab w:val="num" w:pos="1466"/>
        </w:tabs>
        <w:ind w:left="1466" w:hanging="360"/>
      </w:pPr>
      <w:rPr>
        <w:rFonts w:ascii="OpenSymbol" w:eastAsia="OpenSymbol"/>
      </w:rPr>
    </w:lvl>
    <w:lvl w:ilvl="3">
      <w:start w:val="1"/>
      <w:numFmt w:val="bullet"/>
      <w:lvlText w:val=""/>
      <w:lvlJc w:val="left"/>
      <w:pPr>
        <w:tabs>
          <w:tab w:val="num" w:pos="1826"/>
        </w:tabs>
        <w:ind w:left="1826" w:hanging="360"/>
      </w:pPr>
      <w:rPr>
        <w:rFonts w:ascii="Symbol" w:hAnsi="Symbol"/>
      </w:rPr>
    </w:lvl>
    <w:lvl w:ilvl="4">
      <w:start w:val="1"/>
      <w:numFmt w:val="bullet"/>
      <w:lvlText w:val="◦"/>
      <w:lvlJc w:val="left"/>
      <w:pPr>
        <w:tabs>
          <w:tab w:val="num" w:pos="2186"/>
        </w:tabs>
        <w:ind w:left="2186" w:hanging="360"/>
      </w:pPr>
      <w:rPr>
        <w:rFonts w:ascii="OpenSymbol" w:eastAsia="OpenSymbol"/>
      </w:rPr>
    </w:lvl>
    <w:lvl w:ilvl="5">
      <w:start w:val="1"/>
      <w:numFmt w:val="bullet"/>
      <w:lvlText w:val="▪"/>
      <w:lvlJc w:val="left"/>
      <w:pPr>
        <w:tabs>
          <w:tab w:val="num" w:pos="2546"/>
        </w:tabs>
        <w:ind w:left="2546" w:hanging="360"/>
      </w:pPr>
      <w:rPr>
        <w:rFonts w:ascii="OpenSymbol" w:eastAsia="OpenSymbol"/>
      </w:rPr>
    </w:lvl>
    <w:lvl w:ilvl="6">
      <w:start w:val="1"/>
      <w:numFmt w:val="bullet"/>
      <w:lvlText w:val=""/>
      <w:lvlJc w:val="left"/>
      <w:pPr>
        <w:tabs>
          <w:tab w:val="num" w:pos="2906"/>
        </w:tabs>
        <w:ind w:left="2906" w:hanging="360"/>
      </w:pPr>
      <w:rPr>
        <w:rFonts w:ascii="Symbol" w:hAnsi="Symbol"/>
      </w:rPr>
    </w:lvl>
    <w:lvl w:ilvl="7">
      <w:start w:val="1"/>
      <w:numFmt w:val="bullet"/>
      <w:lvlText w:val="◦"/>
      <w:lvlJc w:val="left"/>
      <w:pPr>
        <w:tabs>
          <w:tab w:val="num" w:pos="3266"/>
        </w:tabs>
        <w:ind w:left="3266" w:hanging="360"/>
      </w:pPr>
      <w:rPr>
        <w:rFonts w:ascii="OpenSymbol" w:eastAsia="OpenSymbol"/>
      </w:rPr>
    </w:lvl>
    <w:lvl w:ilvl="8">
      <w:start w:val="1"/>
      <w:numFmt w:val="bullet"/>
      <w:lvlText w:val="▪"/>
      <w:lvlJc w:val="left"/>
      <w:pPr>
        <w:tabs>
          <w:tab w:val="num" w:pos="3626"/>
        </w:tabs>
        <w:ind w:left="3626" w:hanging="360"/>
      </w:pPr>
      <w:rPr>
        <w:rFonts w:ascii="OpenSymbol" w:eastAsia="OpenSymbol"/>
      </w:rPr>
    </w:lvl>
  </w:abstractNum>
  <w:abstractNum w:abstractNumId="7">
    <w:nsid w:val="008A4E30"/>
    <w:multiLevelType w:val="hybridMultilevel"/>
    <w:tmpl w:val="85FE02CC"/>
    <w:lvl w:ilvl="0" w:tplc="9F982B0C">
      <w:start w:val="1"/>
      <w:numFmt w:val="bullet"/>
      <w:lvlText w:val="−"/>
      <w:lvlJc w:val="left"/>
      <w:pPr>
        <w:tabs>
          <w:tab w:val="num" w:pos="720"/>
        </w:tabs>
        <w:ind w:left="720" w:hanging="360"/>
      </w:pPr>
      <w:rPr>
        <w:rFonts w:ascii="Arial" w:hAnsi="Arial" w:hint="default"/>
      </w:rPr>
    </w:lvl>
    <w:lvl w:ilvl="1" w:tplc="DA80F0EC" w:tentative="1">
      <w:start w:val="1"/>
      <w:numFmt w:val="bullet"/>
      <w:lvlText w:val="−"/>
      <w:lvlJc w:val="left"/>
      <w:pPr>
        <w:tabs>
          <w:tab w:val="num" w:pos="1440"/>
        </w:tabs>
        <w:ind w:left="1440" w:hanging="360"/>
      </w:pPr>
      <w:rPr>
        <w:rFonts w:ascii="Arial" w:hAnsi="Arial" w:hint="default"/>
      </w:rPr>
    </w:lvl>
    <w:lvl w:ilvl="2" w:tplc="47563E56" w:tentative="1">
      <w:start w:val="1"/>
      <w:numFmt w:val="bullet"/>
      <w:lvlText w:val="−"/>
      <w:lvlJc w:val="left"/>
      <w:pPr>
        <w:tabs>
          <w:tab w:val="num" w:pos="2160"/>
        </w:tabs>
        <w:ind w:left="2160" w:hanging="360"/>
      </w:pPr>
      <w:rPr>
        <w:rFonts w:ascii="Arial" w:hAnsi="Arial" w:hint="default"/>
      </w:rPr>
    </w:lvl>
    <w:lvl w:ilvl="3" w:tplc="E3467E82" w:tentative="1">
      <w:start w:val="1"/>
      <w:numFmt w:val="bullet"/>
      <w:lvlText w:val="−"/>
      <w:lvlJc w:val="left"/>
      <w:pPr>
        <w:tabs>
          <w:tab w:val="num" w:pos="2880"/>
        </w:tabs>
        <w:ind w:left="2880" w:hanging="360"/>
      </w:pPr>
      <w:rPr>
        <w:rFonts w:ascii="Arial" w:hAnsi="Arial" w:hint="default"/>
      </w:rPr>
    </w:lvl>
    <w:lvl w:ilvl="4" w:tplc="A30225C0" w:tentative="1">
      <w:start w:val="1"/>
      <w:numFmt w:val="bullet"/>
      <w:lvlText w:val="−"/>
      <w:lvlJc w:val="left"/>
      <w:pPr>
        <w:tabs>
          <w:tab w:val="num" w:pos="3600"/>
        </w:tabs>
        <w:ind w:left="3600" w:hanging="360"/>
      </w:pPr>
      <w:rPr>
        <w:rFonts w:ascii="Arial" w:hAnsi="Arial" w:hint="default"/>
      </w:rPr>
    </w:lvl>
    <w:lvl w:ilvl="5" w:tplc="C4B4CBFE" w:tentative="1">
      <w:start w:val="1"/>
      <w:numFmt w:val="bullet"/>
      <w:lvlText w:val="−"/>
      <w:lvlJc w:val="left"/>
      <w:pPr>
        <w:tabs>
          <w:tab w:val="num" w:pos="4320"/>
        </w:tabs>
        <w:ind w:left="4320" w:hanging="360"/>
      </w:pPr>
      <w:rPr>
        <w:rFonts w:ascii="Arial" w:hAnsi="Arial" w:hint="default"/>
      </w:rPr>
    </w:lvl>
    <w:lvl w:ilvl="6" w:tplc="6106A6FA" w:tentative="1">
      <w:start w:val="1"/>
      <w:numFmt w:val="bullet"/>
      <w:lvlText w:val="−"/>
      <w:lvlJc w:val="left"/>
      <w:pPr>
        <w:tabs>
          <w:tab w:val="num" w:pos="5040"/>
        </w:tabs>
        <w:ind w:left="5040" w:hanging="360"/>
      </w:pPr>
      <w:rPr>
        <w:rFonts w:ascii="Arial" w:hAnsi="Arial" w:hint="default"/>
      </w:rPr>
    </w:lvl>
    <w:lvl w:ilvl="7" w:tplc="31B2D4C2" w:tentative="1">
      <w:start w:val="1"/>
      <w:numFmt w:val="bullet"/>
      <w:lvlText w:val="−"/>
      <w:lvlJc w:val="left"/>
      <w:pPr>
        <w:tabs>
          <w:tab w:val="num" w:pos="5760"/>
        </w:tabs>
        <w:ind w:left="5760" w:hanging="360"/>
      </w:pPr>
      <w:rPr>
        <w:rFonts w:ascii="Arial" w:hAnsi="Arial" w:hint="default"/>
      </w:rPr>
    </w:lvl>
    <w:lvl w:ilvl="8" w:tplc="9F3C46BA" w:tentative="1">
      <w:start w:val="1"/>
      <w:numFmt w:val="bullet"/>
      <w:lvlText w:val="−"/>
      <w:lvlJc w:val="left"/>
      <w:pPr>
        <w:tabs>
          <w:tab w:val="num" w:pos="6480"/>
        </w:tabs>
        <w:ind w:left="6480" w:hanging="360"/>
      </w:pPr>
      <w:rPr>
        <w:rFonts w:ascii="Arial" w:hAnsi="Arial" w:hint="default"/>
      </w:rPr>
    </w:lvl>
  </w:abstractNum>
  <w:abstractNum w:abstractNumId="8">
    <w:nsid w:val="061A33E2"/>
    <w:multiLevelType w:val="hybridMultilevel"/>
    <w:tmpl w:val="565EEC62"/>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0A854748"/>
    <w:multiLevelType w:val="hybridMultilevel"/>
    <w:tmpl w:val="BEC2BA34"/>
    <w:lvl w:ilvl="0" w:tplc="44108D90">
      <w:start w:val="26"/>
      <w:numFmt w:val="bullet"/>
      <w:lvlText w:val="-"/>
      <w:lvlJc w:val="left"/>
      <w:pPr>
        <w:ind w:left="720" w:hanging="360"/>
      </w:pPr>
      <w:rPr>
        <w:rFonts w:ascii="Times New Roman" w:eastAsia="Times New Roman" w:hAnsi="Times New Roman" w:hint="default"/>
      </w:rPr>
    </w:lvl>
    <w:lvl w:ilvl="1" w:tplc="24E6D2BA">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771190"/>
    <w:multiLevelType w:val="hybridMultilevel"/>
    <w:tmpl w:val="FE42EFDA"/>
    <w:lvl w:ilvl="0" w:tplc="EBEAF312">
      <w:start w:val="1"/>
      <w:numFmt w:val="bullet"/>
      <w:lvlText w:val="−"/>
      <w:lvlJc w:val="left"/>
      <w:pPr>
        <w:ind w:left="1485" w:hanging="360"/>
      </w:pPr>
      <w:rPr>
        <w:rFonts w:ascii="Times New Roman" w:hAnsi="Times New Roman" w:hint="default"/>
      </w:rPr>
    </w:lvl>
    <w:lvl w:ilvl="1" w:tplc="04050003" w:tentative="1">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1">
    <w:nsid w:val="164C04E5"/>
    <w:multiLevelType w:val="hybridMultilevel"/>
    <w:tmpl w:val="5B4ABA64"/>
    <w:lvl w:ilvl="0" w:tplc="A8229EDE">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1C8022BF"/>
    <w:multiLevelType w:val="hybridMultilevel"/>
    <w:tmpl w:val="18F23D3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1E6E154C"/>
    <w:multiLevelType w:val="hybridMultilevel"/>
    <w:tmpl w:val="47B4125E"/>
    <w:lvl w:ilvl="0" w:tplc="08C6F6E0">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EC46AE0"/>
    <w:multiLevelType w:val="hybridMultilevel"/>
    <w:tmpl w:val="B024F544"/>
    <w:lvl w:ilvl="0" w:tplc="24E6D2BA">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21446BA5"/>
    <w:multiLevelType w:val="hybridMultilevel"/>
    <w:tmpl w:val="CCA20CAE"/>
    <w:lvl w:ilvl="0" w:tplc="C2FCD596">
      <w:start w:val="1"/>
      <w:numFmt w:val="bullet"/>
      <w:lvlText w:val="-"/>
      <w:lvlJc w:val="left"/>
      <w:pPr>
        <w:tabs>
          <w:tab w:val="num" w:pos="720"/>
        </w:tabs>
        <w:ind w:left="720" w:hanging="360"/>
      </w:pPr>
      <w:rPr>
        <w:rFonts w:ascii="Times New Roman" w:hAnsi="Times New Roman" w:hint="default"/>
      </w:rPr>
    </w:lvl>
    <w:lvl w:ilvl="1" w:tplc="6DFE159C" w:tentative="1">
      <w:start w:val="1"/>
      <w:numFmt w:val="bullet"/>
      <w:lvlText w:val="-"/>
      <w:lvlJc w:val="left"/>
      <w:pPr>
        <w:tabs>
          <w:tab w:val="num" w:pos="1440"/>
        </w:tabs>
        <w:ind w:left="1440" w:hanging="360"/>
      </w:pPr>
      <w:rPr>
        <w:rFonts w:ascii="Times New Roman" w:hAnsi="Times New Roman" w:hint="default"/>
      </w:rPr>
    </w:lvl>
    <w:lvl w:ilvl="2" w:tplc="7E701E10" w:tentative="1">
      <w:start w:val="1"/>
      <w:numFmt w:val="bullet"/>
      <w:lvlText w:val="-"/>
      <w:lvlJc w:val="left"/>
      <w:pPr>
        <w:tabs>
          <w:tab w:val="num" w:pos="2160"/>
        </w:tabs>
        <w:ind w:left="2160" w:hanging="360"/>
      </w:pPr>
      <w:rPr>
        <w:rFonts w:ascii="Times New Roman" w:hAnsi="Times New Roman" w:hint="default"/>
      </w:rPr>
    </w:lvl>
    <w:lvl w:ilvl="3" w:tplc="B016DBA0" w:tentative="1">
      <w:start w:val="1"/>
      <w:numFmt w:val="bullet"/>
      <w:lvlText w:val="-"/>
      <w:lvlJc w:val="left"/>
      <w:pPr>
        <w:tabs>
          <w:tab w:val="num" w:pos="2880"/>
        </w:tabs>
        <w:ind w:left="2880" w:hanging="360"/>
      </w:pPr>
      <w:rPr>
        <w:rFonts w:ascii="Times New Roman" w:hAnsi="Times New Roman" w:hint="default"/>
      </w:rPr>
    </w:lvl>
    <w:lvl w:ilvl="4" w:tplc="0A862082" w:tentative="1">
      <w:start w:val="1"/>
      <w:numFmt w:val="bullet"/>
      <w:lvlText w:val="-"/>
      <w:lvlJc w:val="left"/>
      <w:pPr>
        <w:tabs>
          <w:tab w:val="num" w:pos="3600"/>
        </w:tabs>
        <w:ind w:left="3600" w:hanging="360"/>
      </w:pPr>
      <w:rPr>
        <w:rFonts w:ascii="Times New Roman" w:hAnsi="Times New Roman" w:hint="default"/>
      </w:rPr>
    </w:lvl>
    <w:lvl w:ilvl="5" w:tplc="726AE69A" w:tentative="1">
      <w:start w:val="1"/>
      <w:numFmt w:val="bullet"/>
      <w:lvlText w:val="-"/>
      <w:lvlJc w:val="left"/>
      <w:pPr>
        <w:tabs>
          <w:tab w:val="num" w:pos="4320"/>
        </w:tabs>
        <w:ind w:left="4320" w:hanging="360"/>
      </w:pPr>
      <w:rPr>
        <w:rFonts w:ascii="Times New Roman" w:hAnsi="Times New Roman" w:hint="default"/>
      </w:rPr>
    </w:lvl>
    <w:lvl w:ilvl="6" w:tplc="567E8FBE" w:tentative="1">
      <w:start w:val="1"/>
      <w:numFmt w:val="bullet"/>
      <w:lvlText w:val="-"/>
      <w:lvlJc w:val="left"/>
      <w:pPr>
        <w:tabs>
          <w:tab w:val="num" w:pos="5040"/>
        </w:tabs>
        <w:ind w:left="5040" w:hanging="360"/>
      </w:pPr>
      <w:rPr>
        <w:rFonts w:ascii="Times New Roman" w:hAnsi="Times New Roman" w:hint="default"/>
      </w:rPr>
    </w:lvl>
    <w:lvl w:ilvl="7" w:tplc="D7F6B138" w:tentative="1">
      <w:start w:val="1"/>
      <w:numFmt w:val="bullet"/>
      <w:lvlText w:val="-"/>
      <w:lvlJc w:val="left"/>
      <w:pPr>
        <w:tabs>
          <w:tab w:val="num" w:pos="5760"/>
        </w:tabs>
        <w:ind w:left="5760" w:hanging="360"/>
      </w:pPr>
      <w:rPr>
        <w:rFonts w:ascii="Times New Roman" w:hAnsi="Times New Roman" w:hint="default"/>
      </w:rPr>
    </w:lvl>
    <w:lvl w:ilvl="8" w:tplc="447CB9A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251292F"/>
    <w:multiLevelType w:val="hybridMultilevel"/>
    <w:tmpl w:val="4B508C08"/>
    <w:lvl w:ilvl="0" w:tplc="7A6055BE">
      <w:start w:val="1"/>
      <w:numFmt w:val="bullet"/>
      <w:lvlText w:val="-"/>
      <w:lvlJc w:val="left"/>
      <w:pPr>
        <w:tabs>
          <w:tab w:val="num" w:pos="720"/>
        </w:tabs>
        <w:ind w:left="720" w:hanging="360"/>
      </w:pPr>
      <w:rPr>
        <w:rFonts w:ascii="Times New Roman" w:hAnsi="Times New Roman" w:hint="default"/>
      </w:rPr>
    </w:lvl>
    <w:lvl w:ilvl="1" w:tplc="F4C6F12C" w:tentative="1">
      <w:start w:val="1"/>
      <w:numFmt w:val="bullet"/>
      <w:lvlText w:val="-"/>
      <w:lvlJc w:val="left"/>
      <w:pPr>
        <w:tabs>
          <w:tab w:val="num" w:pos="1440"/>
        </w:tabs>
        <w:ind w:left="1440" w:hanging="360"/>
      </w:pPr>
      <w:rPr>
        <w:rFonts w:ascii="Times New Roman" w:hAnsi="Times New Roman" w:hint="default"/>
      </w:rPr>
    </w:lvl>
    <w:lvl w:ilvl="2" w:tplc="C11CE690" w:tentative="1">
      <w:start w:val="1"/>
      <w:numFmt w:val="bullet"/>
      <w:lvlText w:val="-"/>
      <w:lvlJc w:val="left"/>
      <w:pPr>
        <w:tabs>
          <w:tab w:val="num" w:pos="2160"/>
        </w:tabs>
        <w:ind w:left="2160" w:hanging="360"/>
      </w:pPr>
      <w:rPr>
        <w:rFonts w:ascii="Times New Roman" w:hAnsi="Times New Roman" w:hint="default"/>
      </w:rPr>
    </w:lvl>
    <w:lvl w:ilvl="3" w:tplc="C3F080E6" w:tentative="1">
      <w:start w:val="1"/>
      <w:numFmt w:val="bullet"/>
      <w:lvlText w:val="-"/>
      <w:lvlJc w:val="left"/>
      <w:pPr>
        <w:tabs>
          <w:tab w:val="num" w:pos="2880"/>
        </w:tabs>
        <w:ind w:left="2880" w:hanging="360"/>
      </w:pPr>
      <w:rPr>
        <w:rFonts w:ascii="Times New Roman" w:hAnsi="Times New Roman" w:hint="default"/>
      </w:rPr>
    </w:lvl>
    <w:lvl w:ilvl="4" w:tplc="6BE2204A" w:tentative="1">
      <w:start w:val="1"/>
      <w:numFmt w:val="bullet"/>
      <w:lvlText w:val="-"/>
      <w:lvlJc w:val="left"/>
      <w:pPr>
        <w:tabs>
          <w:tab w:val="num" w:pos="3600"/>
        </w:tabs>
        <w:ind w:left="3600" w:hanging="360"/>
      </w:pPr>
      <w:rPr>
        <w:rFonts w:ascii="Times New Roman" w:hAnsi="Times New Roman" w:hint="default"/>
      </w:rPr>
    </w:lvl>
    <w:lvl w:ilvl="5" w:tplc="20745D86" w:tentative="1">
      <w:start w:val="1"/>
      <w:numFmt w:val="bullet"/>
      <w:lvlText w:val="-"/>
      <w:lvlJc w:val="left"/>
      <w:pPr>
        <w:tabs>
          <w:tab w:val="num" w:pos="4320"/>
        </w:tabs>
        <w:ind w:left="4320" w:hanging="360"/>
      </w:pPr>
      <w:rPr>
        <w:rFonts w:ascii="Times New Roman" w:hAnsi="Times New Roman" w:hint="default"/>
      </w:rPr>
    </w:lvl>
    <w:lvl w:ilvl="6" w:tplc="76E4ACE8" w:tentative="1">
      <w:start w:val="1"/>
      <w:numFmt w:val="bullet"/>
      <w:lvlText w:val="-"/>
      <w:lvlJc w:val="left"/>
      <w:pPr>
        <w:tabs>
          <w:tab w:val="num" w:pos="5040"/>
        </w:tabs>
        <w:ind w:left="5040" w:hanging="360"/>
      </w:pPr>
      <w:rPr>
        <w:rFonts w:ascii="Times New Roman" w:hAnsi="Times New Roman" w:hint="default"/>
      </w:rPr>
    </w:lvl>
    <w:lvl w:ilvl="7" w:tplc="D920613C" w:tentative="1">
      <w:start w:val="1"/>
      <w:numFmt w:val="bullet"/>
      <w:lvlText w:val="-"/>
      <w:lvlJc w:val="left"/>
      <w:pPr>
        <w:tabs>
          <w:tab w:val="num" w:pos="5760"/>
        </w:tabs>
        <w:ind w:left="5760" w:hanging="360"/>
      </w:pPr>
      <w:rPr>
        <w:rFonts w:ascii="Times New Roman" w:hAnsi="Times New Roman" w:hint="default"/>
      </w:rPr>
    </w:lvl>
    <w:lvl w:ilvl="8" w:tplc="9892C6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3AD6049"/>
    <w:multiLevelType w:val="hybridMultilevel"/>
    <w:tmpl w:val="12F45EF6"/>
    <w:lvl w:ilvl="0" w:tplc="24E6D2BA">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23BC2962"/>
    <w:multiLevelType w:val="hybridMultilevel"/>
    <w:tmpl w:val="9E3039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0051C0"/>
    <w:multiLevelType w:val="hybridMultilevel"/>
    <w:tmpl w:val="EF70315E"/>
    <w:lvl w:ilvl="0" w:tplc="57281DC4">
      <w:start w:val="1"/>
      <w:numFmt w:val="bullet"/>
      <w:lvlText w:val="-"/>
      <w:lvlJc w:val="left"/>
      <w:pPr>
        <w:tabs>
          <w:tab w:val="num" w:pos="720"/>
        </w:tabs>
        <w:ind w:left="720" w:hanging="360"/>
      </w:pPr>
      <w:rPr>
        <w:rFonts w:ascii="Times New Roman" w:hAnsi="Times New Roman" w:hint="default"/>
      </w:rPr>
    </w:lvl>
    <w:lvl w:ilvl="1" w:tplc="5D144324">
      <w:start w:val="1120"/>
      <w:numFmt w:val="bullet"/>
      <w:lvlText w:val="-"/>
      <w:lvlJc w:val="left"/>
      <w:pPr>
        <w:tabs>
          <w:tab w:val="num" w:pos="1440"/>
        </w:tabs>
        <w:ind w:left="1440" w:hanging="360"/>
      </w:pPr>
      <w:rPr>
        <w:rFonts w:ascii="Times New Roman" w:hAnsi="Times New Roman" w:hint="default"/>
      </w:rPr>
    </w:lvl>
    <w:lvl w:ilvl="2" w:tplc="4DBA4792" w:tentative="1">
      <w:start w:val="1"/>
      <w:numFmt w:val="bullet"/>
      <w:lvlText w:val="-"/>
      <w:lvlJc w:val="left"/>
      <w:pPr>
        <w:tabs>
          <w:tab w:val="num" w:pos="2160"/>
        </w:tabs>
        <w:ind w:left="2160" w:hanging="360"/>
      </w:pPr>
      <w:rPr>
        <w:rFonts w:ascii="Times New Roman" w:hAnsi="Times New Roman" w:hint="default"/>
      </w:rPr>
    </w:lvl>
    <w:lvl w:ilvl="3" w:tplc="FE8017FE" w:tentative="1">
      <w:start w:val="1"/>
      <w:numFmt w:val="bullet"/>
      <w:lvlText w:val="-"/>
      <w:lvlJc w:val="left"/>
      <w:pPr>
        <w:tabs>
          <w:tab w:val="num" w:pos="2880"/>
        </w:tabs>
        <w:ind w:left="2880" w:hanging="360"/>
      </w:pPr>
      <w:rPr>
        <w:rFonts w:ascii="Times New Roman" w:hAnsi="Times New Roman" w:hint="default"/>
      </w:rPr>
    </w:lvl>
    <w:lvl w:ilvl="4" w:tplc="DDE668F4" w:tentative="1">
      <w:start w:val="1"/>
      <w:numFmt w:val="bullet"/>
      <w:lvlText w:val="-"/>
      <w:lvlJc w:val="left"/>
      <w:pPr>
        <w:tabs>
          <w:tab w:val="num" w:pos="3600"/>
        </w:tabs>
        <w:ind w:left="3600" w:hanging="360"/>
      </w:pPr>
      <w:rPr>
        <w:rFonts w:ascii="Times New Roman" w:hAnsi="Times New Roman" w:hint="default"/>
      </w:rPr>
    </w:lvl>
    <w:lvl w:ilvl="5" w:tplc="B58E7C4E" w:tentative="1">
      <w:start w:val="1"/>
      <w:numFmt w:val="bullet"/>
      <w:lvlText w:val="-"/>
      <w:lvlJc w:val="left"/>
      <w:pPr>
        <w:tabs>
          <w:tab w:val="num" w:pos="4320"/>
        </w:tabs>
        <w:ind w:left="4320" w:hanging="360"/>
      </w:pPr>
      <w:rPr>
        <w:rFonts w:ascii="Times New Roman" w:hAnsi="Times New Roman" w:hint="default"/>
      </w:rPr>
    </w:lvl>
    <w:lvl w:ilvl="6" w:tplc="3DC41416" w:tentative="1">
      <w:start w:val="1"/>
      <w:numFmt w:val="bullet"/>
      <w:lvlText w:val="-"/>
      <w:lvlJc w:val="left"/>
      <w:pPr>
        <w:tabs>
          <w:tab w:val="num" w:pos="5040"/>
        </w:tabs>
        <w:ind w:left="5040" w:hanging="360"/>
      </w:pPr>
      <w:rPr>
        <w:rFonts w:ascii="Times New Roman" w:hAnsi="Times New Roman" w:hint="default"/>
      </w:rPr>
    </w:lvl>
    <w:lvl w:ilvl="7" w:tplc="0A164CBC" w:tentative="1">
      <w:start w:val="1"/>
      <w:numFmt w:val="bullet"/>
      <w:lvlText w:val="-"/>
      <w:lvlJc w:val="left"/>
      <w:pPr>
        <w:tabs>
          <w:tab w:val="num" w:pos="5760"/>
        </w:tabs>
        <w:ind w:left="5760" w:hanging="360"/>
      </w:pPr>
      <w:rPr>
        <w:rFonts w:ascii="Times New Roman" w:hAnsi="Times New Roman" w:hint="default"/>
      </w:rPr>
    </w:lvl>
    <w:lvl w:ilvl="8" w:tplc="1A1E72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1A0E9C"/>
    <w:multiLevelType w:val="hybridMultilevel"/>
    <w:tmpl w:val="43C677F6"/>
    <w:lvl w:ilvl="0" w:tplc="7704522A">
      <w:start w:val="1"/>
      <w:numFmt w:val="bullet"/>
      <w:lvlText w:val="-"/>
      <w:lvlJc w:val="left"/>
      <w:pPr>
        <w:tabs>
          <w:tab w:val="num" w:pos="720"/>
        </w:tabs>
        <w:ind w:left="720" w:hanging="360"/>
      </w:pPr>
      <w:rPr>
        <w:rFonts w:ascii="Times New Roman" w:hAnsi="Times New Roman" w:hint="default"/>
      </w:rPr>
    </w:lvl>
    <w:lvl w:ilvl="1" w:tplc="652806F6" w:tentative="1">
      <w:start w:val="1"/>
      <w:numFmt w:val="bullet"/>
      <w:lvlText w:val="-"/>
      <w:lvlJc w:val="left"/>
      <w:pPr>
        <w:tabs>
          <w:tab w:val="num" w:pos="1440"/>
        </w:tabs>
        <w:ind w:left="1440" w:hanging="360"/>
      </w:pPr>
      <w:rPr>
        <w:rFonts w:ascii="Times New Roman" w:hAnsi="Times New Roman" w:hint="default"/>
      </w:rPr>
    </w:lvl>
    <w:lvl w:ilvl="2" w:tplc="7188F5DE" w:tentative="1">
      <w:start w:val="1"/>
      <w:numFmt w:val="bullet"/>
      <w:lvlText w:val="-"/>
      <w:lvlJc w:val="left"/>
      <w:pPr>
        <w:tabs>
          <w:tab w:val="num" w:pos="2160"/>
        </w:tabs>
        <w:ind w:left="2160" w:hanging="360"/>
      </w:pPr>
      <w:rPr>
        <w:rFonts w:ascii="Times New Roman" w:hAnsi="Times New Roman" w:hint="default"/>
      </w:rPr>
    </w:lvl>
    <w:lvl w:ilvl="3" w:tplc="D8862D14" w:tentative="1">
      <w:start w:val="1"/>
      <w:numFmt w:val="bullet"/>
      <w:lvlText w:val="-"/>
      <w:lvlJc w:val="left"/>
      <w:pPr>
        <w:tabs>
          <w:tab w:val="num" w:pos="2880"/>
        </w:tabs>
        <w:ind w:left="2880" w:hanging="360"/>
      </w:pPr>
      <w:rPr>
        <w:rFonts w:ascii="Times New Roman" w:hAnsi="Times New Roman" w:hint="default"/>
      </w:rPr>
    </w:lvl>
    <w:lvl w:ilvl="4" w:tplc="B6D6A404" w:tentative="1">
      <w:start w:val="1"/>
      <w:numFmt w:val="bullet"/>
      <w:lvlText w:val="-"/>
      <w:lvlJc w:val="left"/>
      <w:pPr>
        <w:tabs>
          <w:tab w:val="num" w:pos="3600"/>
        </w:tabs>
        <w:ind w:left="3600" w:hanging="360"/>
      </w:pPr>
      <w:rPr>
        <w:rFonts w:ascii="Times New Roman" w:hAnsi="Times New Roman" w:hint="default"/>
      </w:rPr>
    </w:lvl>
    <w:lvl w:ilvl="5" w:tplc="B4C0CE5C" w:tentative="1">
      <w:start w:val="1"/>
      <w:numFmt w:val="bullet"/>
      <w:lvlText w:val="-"/>
      <w:lvlJc w:val="left"/>
      <w:pPr>
        <w:tabs>
          <w:tab w:val="num" w:pos="4320"/>
        </w:tabs>
        <w:ind w:left="4320" w:hanging="360"/>
      </w:pPr>
      <w:rPr>
        <w:rFonts w:ascii="Times New Roman" w:hAnsi="Times New Roman" w:hint="default"/>
      </w:rPr>
    </w:lvl>
    <w:lvl w:ilvl="6" w:tplc="2A7E7676" w:tentative="1">
      <w:start w:val="1"/>
      <w:numFmt w:val="bullet"/>
      <w:lvlText w:val="-"/>
      <w:lvlJc w:val="left"/>
      <w:pPr>
        <w:tabs>
          <w:tab w:val="num" w:pos="5040"/>
        </w:tabs>
        <w:ind w:left="5040" w:hanging="360"/>
      </w:pPr>
      <w:rPr>
        <w:rFonts w:ascii="Times New Roman" w:hAnsi="Times New Roman" w:hint="default"/>
      </w:rPr>
    </w:lvl>
    <w:lvl w:ilvl="7" w:tplc="131C9D60" w:tentative="1">
      <w:start w:val="1"/>
      <w:numFmt w:val="bullet"/>
      <w:lvlText w:val="-"/>
      <w:lvlJc w:val="left"/>
      <w:pPr>
        <w:tabs>
          <w:tab w:val="num" w:pos="5760"/>
        </w:tabs>
        <w:ind w:left="5760" w:hanging="360"/>
      </w:pPr>
      <w:rPr>
        <w:rFonts w:ascii="Times New Roman" w:hAnsi="Times New Roman" w:hint="default"/>
      </w:rPr>
    </w:lvl>
    <w:lvl w:ilvl="8" w:tplc="093A70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E1B6FE1"/>
    <w:multiLevelType w:val="hybridMultilevel"/>
    <w:tmpl w:val="9424B446"/>
    <w:lvl w:ilvl="0" w:tplc="79A88744">
      <w:start w:val="1"/>
      <w:numFmt w:val="bullet"/>
      <w:lvlText w:val="-"/>
      <w:lvlJc w:val="left"/>
      <w:pPr>
        <w:tabs>
          <w:tab w:val="num" w:pos="720"/>
        </w:tabs>
        <w:ind w:left="720" w:hanging="360"/>
      </w:pPr>
      <w:rPr>
        <w:rFonts w:ascii="Times New Roman" w:hAnsi="Times New Roman" w:hint="default"/>
      </w:rPr>
    </w:lvl>
    <w:lvl w:ilvl="1" w:tplc="DF382188" w:tentative="1">
      <w:start w:val="1"/>
      <w:numFmt w:val="bullet"/>
      <w:lvlText w:val="-"/>
      <w:lvlJc w:val="left"/>
      <w:pPr>
        <w:tabs>
          <w:tab w:val="num" w:pos="1440"/>
        </w:tabs>
        <w:ind w:left="1440" w:hanging="360"/>
      </w:pPr>
      <w:rPr>
        <w:rFonts w:ascii="Times New Roman" w:hAnsi="Times New Roman" w:hint="default"/>
      </w:rPr>
    </w:lvl>
    <w:lvl w:ilvl="2" w:tplc="A4026C1A" w:tentative="1">
      <w:start w:val="1"/>
      <w:numFmt w:val="bullet"/>
      <w:lvlText w:val="-"/>
      <w:lvlJc w:val="left"/>
      <w:pPr>
        <w:tabs>
          <w:tab w:val="num" w:pos="2160"/>
        </w:tabs>
        <w:ind w:left="2160" w:hanging="360"/>
      </w:pPr>
      <w:rPr>
        <w:rFonts w:ascii="Times New Roman" w:hAnsi="Times New Roman" w:hint="default"/>
      </w:rPr>
    </w:lvl>
    <w:lvl w:ilvl="3" w:tplc="A99E8DC0" w:tentative="1">
      <w:start w:val="1"/>
      <w:numFmt w:val="bullet"/>
      <w:lvlText w:val="-"/>
      <w:lvlJc w:val="left"/>
      <w:pPr>
        <w:tabs>
          <w:tab w:val="num" w:pos="2880"/>
        </w:tabs>
        <w:ind w:left="2880" w:hanging="360"/>
      </w:pPr>
      <w:rPr>
        <w:rFonts w:ascii="Times New Roman" w:hAnsi="Times New Roman" w:hint="default"/>
      </w:rPr>
    </w:lvl>
    <w:lvl w:ilvl="4" w:tplc="7F961396" w:tentative="1">
      <w:start w:val="1"/>
      <w:numFmt w:val="bullet"/>
      <w:lvlText w:val="-"/>
      <w:lvlJc w:val="left"/>
      <w:pPr>
        <w:tabs>
          <w:tab w:val="num" w:pos="3600"/>
        </w:tabs>
        <w:ind w:left="3600" w:hanging="360"/>
      </w:pPr>
      <w:rPr>
        <w:rFonts w:ascii="Times New Roman" w:hAnsi="Times New Roman" w:hint="default"/>
      </w:rPr>
    </w:lvl>
    <w:lvl w:ilvl="5" w:tplc="C1F2DCA0" w:tentative="1">
      <w:start w:val="1"/>
      <w:numFmt w:val="bullet"/>
      <w:lvlText w:val="-"/>
      <w:lvlJc w:val="left"/>
      <w:pPr>
        <w:tabs>
          <w:tab w:val="num" w:pos="4320"/>
        </w:tabs>
        <w:ind w:left="4320" w:hanging="360"/>
      </w:pPr>
      <w:rPr>
        <w:rFonts w:ascii="Times New Roman" w:hAnsi="Times New Roman" w:hint="default"/>
      </w:rPr>
    </w:lvl>
    <w:lvl w:ilvl="6" w:tplc="89A4E786" w:tentative="1">
      <w:start w:val="1"/>
      <w:numFmt w:val="bullet"/>
      <w:lvlText w:val="-"/>
      <w:lvlJc w:val="left"/>
      <w:pPr>
        <w:tabs>
          <w:tab w:val="num" w:pos="5040"/>
        </w:tabs>
        <w:ind w:left="5040" w:hanging="360"/>
      </w:pPr>
      <w:rPr>
        <w:rFonts w:ascii="Times New Roman" w:hAnsi="Times New Roman" w:hint="default"/>
      </w:rPr>
    </w:lvl>
    <w:lvl w:ilvl="7" w:tplc="BFDE6310" w:tentative="1">
      <w:start w:val="1"/>
      <w:numFmt w:val="bullet"/>
      <w:lvlText w:val="-"/>
      <w:lvlJc w:val="left"/>
      <w:pPr>
        <w:tabs>
          <w:tab w:val="num" w:pos="5760"/>
        </w:tabs>
        <w:ind w:left="5760" w:hanging="360"/>
      </w:pPr>
      <w:rPr>
        <w:rFonts w:ascii="Times New Roman" w:hAnsi="Times New Roman" w:hint="default"/>
      </w:rPr>
    </w:lvl>
    <w:lvl w:ilvl="8" w:tplc="BAEED8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151A3"/>
    <w:multiLevelType w:val="hybridMultilevel"/>
    <w:tmpl w:val="7F8C89F0"/>
    <w:lvl w:ilvl="0" w:tplc="41EEC508">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357A4F5E"/>
    <w:multiLevelType w:val="hybridMultilevel"/>
    <w:tmpl w:val="4112AB7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nsid w:val="35AC49ED"/>
    <w:multiLevelType w:val="hybridMultilevel"/>
    <w:tmpl w:val="9B9EA988"/>
    <w:lvl w:ilvl="0" w:tplc="74F44218">
      <w:start w:val="1"/>
      <w:numFmt w:val="bullet"/>
      <w:lvlText w:val="-"/>
      <w:lvlJc w:val="left"/>
      <w:pPr>
        <w:tabs>
          <w:tab w:val="num" w:pos="720"/>
        </w:tabs>
        <w:ind w:left="720" w:hanging="360"/>
      </w:pPr>
      <w:rPr>
        <w:rFonts w:ascii="Times New Roman" w:hAnsi="Times New Roman" w:hint="default"/>
      </w:rPr>
    </w:lvl>
    <w:lvl w:ilvl="1" w:tplc="1D70B640" w:tentative="1">
      <w:start w:val="1"/>
      <w:numFmt w:val="bullet"/>
      <w:lvlText w:val="-"/>
      <w:lvlJc w:val="left"/>
      <w:pPr>
        <w:tabs>
          <w:tab w:val="num" w:pos="1440"/>
        </w:tabs>
        <w:ind w:left="1440" w:hanging="360"/>
      </w:pPr>
      <w:rPr>
        <w:rFonts w:ascii="Times New Roman" w:hAnsi="Times New Roman" w:hint="default"/>
      </w:rPr>
    </w:lvl>
    <w:lvl w:ilvl="2" w:tplc="4670BED8" w:tentative="1">
      <w:start w:val="1"/>
      <w:numFmt w:val="bullet"/>
      <w:lvlText w:val="-"/>
      <w:lvlJc w:val="left"/>
      <w:pPr>
        <w:tabs>
          <w:tab w:val="num" w:pos="2160"/>
        </w:tabs>
        <w:ind w:left="2160" w:hanging="360"/>
      </w:pPr>
      <w:rPr>
        <w:rFonts w:ascii="Times New Roman" w:hAnsi="Times New Roman" w:hint="default"/>
      </w:rPr>
    </w:lvl>
    <w:lvl w:ilvl="3" w:tplc="E83E3AAE" w:tentative="1">
      <w:start w:val="1"/>
      <w:numFmt w:val="bullet"/>
      <w:lvlText w:val="-"/>
      <w:lvlJc w:val="left"/>
      <w:pPr>
        <w:tabs>
          <w:tab w:val="num" w:pos="2880"/>
        </w:tabs>
        <w:ind w:left="2880" w:hanging="360"/>
      </w:pPr>
      <w:rPr>
        <w:rFonts w:ascii="Times New Roman" w:hAnsi="Times New Roman" w:hint="default"/>
      </w:rPr>
    </w:lvl>
    <w:lvl w:ilvl="4" w:tplc="878CA0A4" w:tentative="1">
      <w:start w:val="1"/>
      <w:numFmt w:val="bullet"/>
      <w:lvlText w:val="-"/>
      <w:lvlJc w:val="left"/>
      <w:pPr>
        <w:tabs>
          <w:tab w:val="num" w:pos="3600"/>
        </w:tabs>
        <w:ind w:left="3600" w:hanging="360"/>
      </w:pPr>
      <w:rPr>
        <w:rFonts w:ascii="Times New Roman" w:hAnsi="Times New Roman" w:hint="default"/>
      </w:rPr>
    </w:lvl>
    <w:lvl w:ilvl="5" w:tplc="242C305C" w:tentative="1">
      <w:start w:val="1"/>
      <w:numFmt w:val="bullet"/>
      <w:lvlText w:val="-"/>
      <w:lvlJc w:val="left"/>
      <w:pPr>
        <w:tabs>
          <w:tab w:val="num" w:pos="4320"/>
        </w:tabs>
        <w:ind w:left="4320" w:hanging="360"/>
      </w:pPr>
      <w:rPr>
        <w:rFonts w:ascii="Times New Roman" w:hAnsi="Times New Roman" w:hint="default"/>
      </w:rPr>
    </w:lvl>
    <w:lvl w:ilvl="6" w:tplc="C1FECDAA" w:tentative="1">
      <w:start w:val="1"/>
      <w:numFmt w:val="bullet"/>
      <w:lvlText w:val="-"/>
      <w:lvlJc w:val="left"/>
      <w:pPr>
        <w:tabs>
          <w:tab w:val="num" w:pos="5040"/>
        </w:tabs>
        <w:ind w:left="5040" w:hanging="360"/>
      </w:pPr>
      <w:rPr>
        <w:rFonts w:ascii="Times New Roman" w:hAnsi="Times New Roman" w:hint="default"/>
      </w:rPr>
    </w:lvl>
    <w:lvl w:ilvl="7" w:tplc="7E6A103E" w:tentative="1">
      <w:start w:val="1"/>
      <w:numFmt w:val="bullet"/>
      <w:lvlText w:val="-"/>
      <w:lvlJc w:val="left"/>
      <w:pPr>
        <w:tabs>
          <w:tab w:val="num" w:pos="5760"/>
        </w:tabs>
        <w:ind w:left="5760" w:hanging="360"/>
      </w:pPr>
      <w:rPr>
        <w:rFonts w:ascii="Times New Roman" w:hAnsi="Times New Roman" w:hint="default"/>
      </w:rPr>
    </w:lvl>
    <w:lvl w:ilvl="8" w:tplc="6D22155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354D5C"/>
    <w:multiLevelType w:val="hybridMultilevel"/>
    <w:tmpl w:val="EEBEB43E"/>
    <w:lvl w:ilvl="0" w:tplc="3E56B92E">
      <w:start w:val="1"/>
      <w:numFmt w:val="bullet"/>
      <w:lvlText w:val="-"/>
      <w:lvlJc w:val="left"/>
      <w:pPr>
        <w:tabs>
          <w:tab w:val="num" w:pos="720"/>
        </w:tabs>
        <w:ind w:left="720" w:hanging="360"/>
      </w:pPr>
      <w:rPr>
        <w:rFonts w:ascii="Times New Roman" w:hAnsi="Times New Roman" w:hint="default"/>
      </w:rPr>
    </w:lvl>
    <w:lvl w:ilvl="1" w:tplc="AA226408" w:tentative="1">
      <w:start w:val="1"/>
      <w:numFmt w:val="bullet"/>
      <w:lvlText w:val="-"/>
      <w:lvlJc w:val="left"/>
      <w:pPr>
        <w:tabs>
          <w:tab w:val="num" w:pos="1440"/>
        </w:tabs>
        <w:ind w:left="1440" w:hanging="360"/>
      </w:pPr>
      <w:rPr>
        <w:rFonts w:ascii="Times New Roman" w:hAnsi="Times New Roman" w:hint="default"/>
      </w:rPr>
    </w:lvl>
    <w:lvl w:ilvl="2" w:tplc="09CAD878" w:tentative="1">
      <w:start w:val="1"/>
      <w:numFmt w:val="bullet"/>
      <w:lvlText w:val="-"/>
      <w:lvlJc w:val="left"/>
      <w:pPr>
        <w:tabs>
          <w:tab w:val="num" w:pos="2160"/>
        </w:tabs>
        <w:ind w:left="2160" w:hanging="360"/>
      </w:pPr>
      <w:rPr>
        <w:rFonts w:ascii="Times New Roman" w:hAnsi="Times New Roman" w:hint="default"/>
      </w:rPr>
    </w:lvl>
    <w:lvl w:ilvl="3" w:tplc="08ECA542" w:tentative="1">
      <w:start w:val="1"/>
      <w:numFmt w:val="bullet"/>
      <w:lvlText w:val="-"/>
      <w:lvlJc w:val="left"/>
      <w:pPr>
        <w:tabs>
          <w:tab w:val="num" w:pos="2880"/>
        </w:tabs>
        <w:ind w:left="2880" w:hanging="360"/>
      </w:pPr>
      <w:rPr>
        <w:rFonts w:ascii="Times New Roman" w:hAnsi="Times New Roman" w:hint="default"/>
      </w:rPr>
    </w:lvl>
    <w:lvl w:ilvl="4" w:tplc="8004AFD6" w:tentative="1">
      <w:start w:val="1"/>
      <w:numFmt w:val="bullet"/>
      <w:lvlText w:val="-"/>
      <w:lvlJc w:val="left"/>
      <w:pPr>
        <w:tabs>
          <w:tab w:val="num" w:pos="3600"/>
        </w:tabs>
        <w:ind w:left="3600" w:hanging="360"/>
      </w:pPr>
      <w:rPr>
        <w:rFonts w:ascii="Times New Roman" w:hAnsi="Times New Roman" w:hint="default"/>
      </w:rPr>
    </w:lvl>
    <w:lvl w:ilvl="5" w:tplc="1DE64516" w:tentative="1">
      <w:start w:val="1"/>
      <w:numFmt w:val="bullet"/>
      <w:lvlText w:val="-"/>
      <w:lvlJc w:val="left"/>
      <w:pPr>
        <w:tabs>
          <w:tab w:val="num" w:pos="4320"/>
        </w:tabs>
        <w:ind w:left="4320" w:hanging="360"/>
      </w:pPr>
      <w:rPr>
        <w:rFonts w:ascii="Times New Roman" w:hAnsi="Times New Roman" w:hint="default"/>
      </w:rPr>
    </w:lvl>
    <w:lvl w:ilvl="6" w:tplc="DB9EC46E" w:tentative="1">
      <w:start w:val="1"/>
      <w:numFmt w:val="bullet"/>
      <w:lvlText w:val="-"/>
      <w:lvlJc w:val="left"/>
      <w:pPr>
        <w:tabs>
          <w:tab w:val="num" w:pos="5040"/>
        </w:tabs>
        <w:ind w:left="5040" w:hanging="360"/>
      </w:pPr>
      <w:rPr>
        <w:rFonts w:ascii="Times New Roman" w:hAnsi="Times New Roman" w:hint="default"/>
      </w:rPr>
    </w:lvl>
    <w:lvl w:ilvl="7" w:tplc="31423FF6" w:tentative="1">
      <w:start w:val="1"/>
      <w:numFmt w:val="bullet"/>
      <w:lvlText w:val="-"/>
      <w:lvlJc w:val="left"/>
      <w:pPr>
        <w:tabs>
          <w:tab w:val="num" w:pos="5760"/>
        </w:tabs>
        <w:ind w:left="5760" w:hanging="360"/>
      </w:pPr>
      <w:rPr>
        <w:rFonts w:ascii="Times New Roman" w:hAnsi="Times New Roman" w:hint="default"/>
      </w:rPr>
    </w:lvl>
    <w:lvl w:ilvl="8" w:tplc="4F560C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AD340E"/>
    <w:multiLevelType w:val="hybridMultilevel"/>
    <w:tmpl w:val="8646B30A"/>
    <w:lvl w:ilvl="0" w:tplc="00DEBF7C">
      <w:start w:val="5"/>
      <w:numFmt w:val="bullet"/>
      <w:lvlText w:val="-"/>
      <w:lvlJc w:val="left"/>
      <w:pPr>
        <w:tabs>
          <w:tab w:val="num" w:pos="720"/>
        </w:tabs>
        <w:ind w:left="720" w:hanging="360"/>
      </w:pPr>
      <w:rPr>
        <w:rFonts w:ascii="TimesNewRoman" w:eastAsia="Times New Roman" w:hAnsi="TimesNewRoman"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BBA5F1E"/>
    <w:multiLevelType w:val="hybridMultilevel"/>
    <w:tmpl w:val="BEB25F66"/>
    <w:lvl w:ilvl="0" w:tplc="436CDB76">
      <w:start w:val="1"/>
      <w:numFmt w:val="decimal"/>
      <w:lvlText w:val="%1."/>
      <w:lvlJc w:val="left"/>
      <w:pPr>
        <w:tabs>
          <w:tab w:val="num" w:pos="720"/>
        </w:tabs>
        <w:ind w:left="720" w:hanging="360"/>
      </w:pPr>
      <w:rPr>
        <w:rFonts w:cs="Times New Roman"/>
      </w:rPr>
    </w:lvl>
    <w:lvl w:ilvl="1" w:tplc="C6428660" w:tentative="1">
      <w:start w:val="1"/>
      <w:numFmt w:val="decimal"/>
      <w:lvlText w:val="%2."/>
      <w:lvlJc w:val="left"/>
      <w:pPr>
        <w:tabs>
          <w:tab w:val="num" w:pos="1440"/>
        </w:tabs>
        <w:ind w:left="1440" w:hanging="360"/>
      </w:pPr>
      <w:rPr>
        <w:rFonts w:cs="Times New Roman"/>
      </w:rPr>
    </w:lvl>
    <w:lvl w:ilvl="2" w:tplc="7F986548" w:tentative="1">
      <w:start w:val="1"/>
      <w:numFmt w:val="decimal"/>
      <w:lvlText w:val="%3."/>
      <w:lvlJc w:val="left"/>
      <w:pPr>
        <w:tabs>
          <w:tab w:val="num" w:pos="2160"/>
        </w:tabs>
        <w:ind w:left="2160" w:hanging="360"/>
      </w:pPr>
      <w:rPr>
        <w:rFonts w:cs="Times New Roman"/>
      </w:rPr>
    </w:lvl>
    <w:lvl w:ilvl="3" w:tplc="CFD2463E" w:tentative="1">
      <w:start w:val="1"/>
      <w:numFmt w:val="decimal"/>
      <w:lvlText w:val="%4."/>
      <w:lvlJc w:val="left"/>
      <w:pPr>
        <w:tabs>
          <w:tab w:val="num" w:pos="2880"/>
        </w:tabs>
        <w:ind w:left="2880" w:hanging="360"/>
      </w:pPr>
      <w:rPr>
        <w:rFonts w:cs="Times New Roman"/>
      </w:rPr>
    </w:lvl>
    <w:lvl w:ilvl="4" w:tplc="1E9C8908" w:tentative="1">
      <w:start w:val="1"/>
      <w:numFmt w:val="decimal"/>
      <w:lvlText w:val="%5."/>
      <w:lvlJc w:val="left"/>
      <w:pPr>
        <w:tabs>
          <w:tab w:val="num" w:pos="3600"/>
        </w:tabs>
        <w:ind w:left="3600" w:hanging="360"/>
      </w:pPr>
      <w:rPr>
        <w:rFonts w:cs="Times New Roman"/>
      </w:rPr>
    </w:lvl>
    <w:lvl w:ilvl="5" w:tplc="995030AC" w:tentative="1">
      <w:start w:val="1"/>
      <w:numFmt w:val="decimal"/>
      <w:lvlText w:val="%6."/>
      <w:lvlJc w:val="left"/>
      <w:pPr>
        <w:tabs>
          <w:tab w:val="num" w:pos="4320"/>
        </w:tabs>
        <w:ind w:left="4320" w:hanging="360"/>
      </w:pPr>
      <w:rPr>
        <w:rFonts w:cs="Times New Roman"/>
      </w:rPr>
    </w:lvl>
    <w:lvl w:ilvl="6" w:tplc="99F00B6C" w:tentative="1">
      <w:start w:val="1"/>
      <w:numFmt w:val="decimal"/>
      <w:lvlText w:val="%7."/>
      <w:lvlJc w:val="left"/>
      <w:pPr>
        <w:tabs>
          <w:tab w:val="num" w:pos="5040"/>
        </w:tabs>
        <w:ind w:left="5040" w:hanging="360"/>
      </w:pPr>
      <w:rPr>
        <w:rFonts w:cs="Times New Roman"/>
      </w:rPr>
    </w:lvl>
    <w:lvl w:ilvl="7" w:tplc="72E663D6" w:tentative="1">
      <w:start w:val="1"/>
      <w:numFmt w:val="decimal"/>
      <w:lvlText w:val="%8."/>
      <w:lvlJc w:val="left"/>
      <w:pPr>
        <w:tabs>
          <w:tab w:val="num" w:pos="5760"/>
        </w:tabs>
        <w:ind w:left="5760" w:hanging="360"/>
      </w:pPr>
      <w:rPr>
        <w:rFonts w:cs="Times New Roman"/>
      </w:rPr>
    </w:lvl>
    <w:lvl w:ilvl="8" w:tplc="8D00C930" w:tentative="1">
      <w:start w:val="1"/>
      <w:numFmt w:val="decimal"/>
      <w:lvlText w:val="%9."/>
      <w:lvlJc w:val="left"/>
      <w:pPr>
        <w:tabs>
          <w:tab w:val="num" w:pos="6480"/>
        </w:tabs>
        <w:ind w:left="6480" w:hanging="360"/>
      </w:pPr>
      <w:rPr>
        <w:rFonts w:cs="Times New Roman"/>
      </w:rPr>
    </w:lvl>
  </w:abstractNum>
  <w:abstractNum w:abstractNumId="28">
    <w:nsid w:val="5B3F43DB"/>
    <w:multiLevelType w:val="hybridMultilevel"/>
    <w:tmpl w:val="C40C886E"/>
    <w:lvl w:ilvl="0" w:tplc="44108D90">
      <w:start w:val="2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23F5DB0"/>
    <w:multiLevelType w:val="hybridMultilevel"/>
    <w:tmpl w:val="FECC710E"/>
    <w:lvl w:ilvl="0" w:tplc="AC00001E">
      <w:start w:val="3"/>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983494"/>
    <w:multiLevelType w:val="hybridMultilevel"/>
    <w:tmpl w:val="1E6EE208"/>
    <w:lvl w:ilvl="0" w:tplc="684C840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3A03AAE"/>
    <w:multiLevelType w:val="hybridMultilevel"/>
    <w:tmpl w:val="0A5CA830"/>
    <w:lvl w:ilvl="0" w:tplc="41EEC50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626FD0"/>
    <w:multiLevelType w:val="hybridMultilevel"/>
    <w:tmpl w:val="8302814C"/>
    <w:lvl w:ilvl="0" w:tplc="41EEC50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FC7BE3"/>
    <w:multiLevelType w:val="hybridMultilevel"/>
    <w:tmpl w:val="4DCE6208"/>
    <w:lvl w:ilvl="0" w:tplc="F9BC6C82">
      <w:start w:val="1"/>
      <w:numFmt w:val="upperRoman"/>
      <w:pStyle w:val="Nadpis1"/>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nsid w:val="6D7872C1"/>
    <w:multiLevelType w:val="hybridMultilevel"/>
    <w:tmpl w:val="75B2CF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4B17DD2"/>
    <w:multiLevelType w:val="hybridMultilevel"/>
    <w:tmpl w:val="BD062E98"/>
    <w:lvl w:ilvl="0" w:tplc="A4F846D4">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76723511"/>
    <w:multiLevelType w:val="hybridMultilevel"/>
    <w:tmpl w:val="01F6A4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nsid w:val="7BEB443C"/>
    <w:multiLevelType w:val="hybridMultilevel"/>
    <w:tmpl w:val="D35C247E"/>
    <w:lvl w:ilvl="0" w:tplc="4EFC8926">
      <w:start w:val="1"/>
      <w:numFmt w:val="bullet"/>
      <w:lvlText w:val="-"/>
      <w:lvlJc w:val="left"/>
      <w:pPr>
        <w:tabs>
          <w:tab w:val="num" w:pos="720"/>
        </w:tabs>
        <w:ind w:left="720" w:hanging="360"/>
      </w:pPr>
      <w:rPr>
        <w:rFonts w:ascii="Times New Roman" w:hAnsi="Times New Roman" w:hint="default"/>
      </w:rPr>
    </w:lvl>
    <w:lvl w:ilvl="1" w:tplc="E2521D20" w:tentative="1">
      <w:start w:val="1"/>
      <w:numFmt w:val="bullet"/>
      <w:lvlText w:val="-"/>
      <w:lvlJc w:val="left"/>
      <w:pPr>
        <w:tabs>
          <w:tab w:val="num" w:pos="1440"/>
        </w:tabs>
        <w:ind w:left="1440" w:hanging="360"/>
      </w:pPr>
      <w:rPr>
        <w:rFonts w:ascii="Times New Roman" w:hAnsi="Times New Roman" w:hint="default"/>
      </w:rPr>
    </w:lvl>
    <w:lvl w:ilvl="2" w:tplc="C69CEDFA" w:tentative="1">
      <w:start w:val="1"/>
      <w:numFmt w:val="bullet"/>
      <w:lvlText w:val="-"/>
      <w:lvlJc w:val="left"/>
      <w:pPr>
        <w:tabs>
          <w:tab w:val="num" w:pos="2160"/>
        </w:tabs>
        <w:ind w:left="2160" w:hanging="360"/>
      </w:pPr>
      <w:rPr>
        <w:rFonts w:ascii="Times New Roman" w:hAnsi="Times New Roman" w:hint="default"/>
      </w:rPr>
    </w:lvl>
    <w:lvl w:ilvl="3" w:tplc="12082E4A" w:tentative="1">
      <w:start w:val="1"/>
      <w:numFmt w:val="bullet"/>
      <w:lvlText w:val="-"/>
      <w:lvlJc w:val="left"/>
      <w:pPr>
        <w:tabs>
          <w:tab w:val="num" w:pos="2880"/>
        </w:tabs>
        <w:ind w:left="2880" w:hanging="360"/>
      </w:pPr>
      <w:rPr>
        <w:rFonts w:ascii="Times New Roman" w:hAnsi="Times New Roman" w:hint="default"/>
      </w:rPr>
    </w:lvl>
    <w:lvl w:ilvl="4" w:tplc="46BC1C10" w:tentative="1">
      <w:start w:val="1"/>
      <w:numFmt w:val="bullet"/>
      <w:lvlText w:val="-"/>
      <w:lvlJc w:val="left"/>
      <w:pPr>
        <w:tabs>
          <w:tab w:val="num" w:pos="3600"/>
        </w:tabs>
        <w:ind w:left="3600" w:hanging="360"/>
      </w:pPr>
      <w:rPr>
        <w:rFonts w:ascii="Times New Roman" w:hAnsi="Times New Roman" w:hint="default"/>
      </w:rPr>
    </w:lvl>
    <w:lvl w:ilvl="5" w:tplc="EAC4E8F0" w:tentative="1">
      <w:start w:val="1"/>
      <w:numFmt w:val="bullet"/>
      <w:lvlText w:val="-"/>
      <w:lvlJc w:val="left"/>
      <w:pPr>
        <w:tabs>
          <w:tab w:val="num" w:pos="4320"/>
        </w:tabs>
        <w:ind w:left="4320" w:hanging="360"/>
      </w:pPr>
      <w:rPr>
        <w:rFonts w:ascii="Times New Roman" w:hAnsi="Times New Roman" w:hint="default"/>
      </w:rPr>
    </w:lvl>
    <w:lvl w:ilvl="6" w:tplc="D420902A" w:tentative="1">
      <w:start w:val="1"/>
      <w:numFmt w:val="bullet"/>
      <w:lvlText w:val="-"/>
      <w:lvlJc w:val="left"/>
      <w:pPr>
        <w:tabs>
          <w:tab w:val="num" w:pos="5040"/>
        </w:tabs>
        <w:ind w:left="5040" w:hanging="360"/>
      </w:pPr>
      <w:rPr>
        <w:rFonts w:ascii="Times New Roman" w:hAnsi="Times New Roman" w:hint="default"/>
      </w:rPr>
    </w:lvl>
    <w:lvl w:ilvl="7" w:tplc="3C200CF2" w:tentative="1">
      <w:start w:val="1"/>
      <w:numFmt w:val="bullet"/>
      <w:lvlText w:val="-"/>
      <w:lvlJc w:val="left"/>
      <w:pPr>
        <w:tabs>
          <w:tab w:val="num" w:pos="5760"/>
        </w:tabs>
        <w:ind w:left="5760" w:hanging="360"/>
      </w:pPr>
      <w:rPr>
        <w:rFonts w:ascii="Times New Roman" w:hAnsi="Times New Roman" w:hint="default"/>
      </w:rPr>
    </w:lvl>
    <w:lvl w:ilvl="8" w:tplc="0518DD2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CE06E86"/>
    <w:multiLevelType w:val="hybridMultilevel"/>
    <w:tmpl w:val="70A2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2E4BEB"/>
    <w:multiLevelType w:val="hybridMultilevel"/>
    <w:tmpl w:val="18A8453E"/>
    <w:lvl w:ilvl="0" w:tplc="44108D90">
      <w:start w:val="2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7"/>
  </w:num>
  <w:num w:numId="10">
    <w:abstractNumId w:val="22"/>
  </w:num>
  <w:num w:numId="11">
    <w:abstractNumId w:val="18"/>
  </w:num>
  <w:num w:numId="12">
    <w:abstractNumId w:val="26"/>
  </w:num>
  <w:num w:numId="13">
    <w:abstractNumId w:val="35"/>
  </w:num>
  <w:num w:numId="14">
    <w:abstractNumId w:val="8"/>
  </w:num>
  <w:num w:numId="15">
    <w:abstractNumId w:val="12"/>
  </w:num>
  <w:num w:numId="16">
    <w:abstractNumId w:val="10"/>
  </w:num>
  <w:num w:numId="17">
    <w:abstractNumId w:val="11"/>
  </w:num>
  <w:num w:numId="18">
    <w:abstractNumId w:val="29"/>
  </w:num>
  <w:num w:numId="19">
    <w:abstractNumId w:val="27"/>
  </w:num>
  <w:num w:numId="20">
    <w:abstractNumId w:val="20"/>
  </w:num>
  <w:num w:numId="21">
    <w:abstractNumId w:val="15"/>
  </w:num>
  <w:num w:numId="22">
    <w:abstractNumId w:val="24"/>
  </w:num>
  <w:num w:numId="23">
    <w:abstractNumId w:val="19"/>
  </w:num>
  <w:num w:numId="24">
    <w:abstractNumId w:val="25"/>
  </w:num>
  <w:num w:numId="25">
    <w:abstractNumId w:val="21"/>
  </w:num>
  <w:num w:numId="26">
    <w:abstractNumId w:val="37"/>
  </w:num>
  <w:num w:numId="27">
    <w:abstractNumId w:val="16"/>
  </w:num>
  <w:num w:numId="28">
    <w:abstractNumId w:val="6"/>
  </w:num>
  <w:num w:numId="29">
    <w:abstractNumId w:val="36"/>
  </w:num>
  <w:num w:numId="30">
    <w:abstractNumId w:val="39"/>
  </w:num>
  <w:num w:numId="31">
    <w:abstractNumId w:val="28"/>
  </w:num>
  <w:num w:numId="32">
    <w:abstractNumId w:val="38"/>
  </w:num>
  <w:num w:numId="33">
    <w:abstractNumId w:val="23"/>
  </w:num>
  <w:num w:numId="34">
    <w:abstractNumId w:val="31"/>
  </w:num>
  <w:num w:numId="35">
    <w:abstractNumId w:val="32"/>
  </w:num>
  <w:num w:numId="36">
    <w:abstractNumId w:val="9"/>
  </w:num>
  <w:num w:numId="37">
    <w:abstractNumId w:val="14"/>
  </w:num>
  <w:num w:numId="38">
    <w:abstractNumId w:val="17"/>
  </w:num>
  <w:num w:numId="3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1A"/>
    <w:rsid w:val="00010EE4"/>
    <w:rsid w:val="0002075A"/>
    <w:rsid w:val="00021D62"/>
    <w:rsid w:val="00033ACB"/>
    <w:rsid w:val="0003450B"/>
    <w:rsid w:val="00037EB4"/>
    <w:rsid w:val="00044C23"/>
    <w:rsid w:val="00045EB6"/>
    <w:rsid w:val="000506B5"/>
    <w:rsid w:val="000574E1"/>
    <w:rsid w:val="00064C3A"/>
    <w:rsid w:val="000741A0"/>
    <w:rsid w:val="00085460"/>
    <w:rsid w:val="00085F38"/>
    <w:rsid w:val="000946ED"/>
    <w:rsid w:val="00096057"/>
    <w:rsid w:val="000A122D"/>
    <w:rsid w:val="000B2B63"/>
    <w:rsid w:val="000C064C"/>
    <w:rsid w:val="000C3251"/>
    <w:rsid w:val="000C579B"/>
    <w:rsid w:val="000F0F9E"/>
    <w:rsid w:val="000F13DB"/>
    <w:rsid w:val="001010F8"/>
    <w:rsid w:val="00104424"/>
    <w:rsid w:val="00114D72"/>
    <w:rsid w:val="0012634A"/>
    <w:rsid w:val="001303A8"/>
    <w:rsid w:val="001403E1"/>
    <w:rsid w:val="00145905"/>
    <w:rsid w:val="001678E8"/>
    <w:rsid w:val="00183386"/>
    <w:rsid w:val="001876AD"/>
    <w:rsid w:val="00197CF9"/>
    <w:rsid w:val="001A30FB"/>
    <w:rsid w:val="001C09C4"/>
    <w:rsid w:val="001C24A5"/>
    <w:rsid w:val="001C602C"/>
    <w:rsid w:val="001C6327"/>
    <w:rsid w:val="001D56A5"/>
    <w:rsid w:val="001F0B9C"/>
    <w:rsid w:val="001F0BC3"/>
    <w:rsid w:val="001F5B36"/>
    <w:rsid w:val="001F75BA"/>
    <w:rsid w:val="00200969"/>
    <w:rsid w:val="00200F84"/>
    <w:rsid w:val="00205683"/>
    <w:rsid w:val="002117A0"/>
    <w:rsid w:val="002140C5"/>
    <w:rsid w:val="00224BFE"/>
    <w:rsid w:val="00227DF0"/>
    <w:rsid w:val="00231A2B"/>
    <w:rsid w:val="00235133"/>
    <w:rsid w:val="00237FE9"/>
    <w:rsid w:val="002405F4"/>
    <w:rsid w:val="0025151B"/>
    <w:rsid w:val="00256248"/>
    <w:rsid w:val="00270240"/>
    <w:rsid w:val="002806E2"/>
    <w:rsid w:val="00282F0A"/>
    <w:rsid w:val="00290ED1"/>
    <w:rsid w:val="00294EFD"/>
    <w:rsid w:val="00294FE2"/>
    <w:rsid w:val="0029613E"/>
    <w:rsid w:val="00296839"/>
    <w:rsid w:val="002A4487"/>
    <w:rsid w:val="002B0D86"/>
    <w:rsid w:val="002D23DB"/>
    <w:rsid w:val="002F5136"/>
    <w:rsid w:val="00300E53"/>
    <w:rsid w:val="00311E83"/>
    <w:rsid w:val="00323781"/>
    <w:rsid w:val="0032520E"/>
    <w:rsid w:val="0033267C"/>
    <w:rsid w:val="00351B5E"/>
    <w:rsid w:val="00361A24"/>
    <w:rsid w:val="00370C16"/>
    <w:rsid w:val="00371F1B"/>
    <w:rsid w:val="003730D5"/>
    <w:rsid w:val="003743B8"/>
    <w:rsid w:val="003752C3"/>
    <w:rsid w:val="0038213A"/>
    <w:rsid w:val="00382145"/>
    <w:rsid w:val="003838F1"/>
    <w:rsid w:val="003A2876"/>
    <w:rsid w:val="003B6172"/>
    <w:rsid w:val="003C4A27"/>
    <w:rsid w:val="003E0848"/>
    <w:rsid w:val="003E10D6"/>
    <w:rsid w:val="003E3AA4"/>
    <w:rsid w:val="003E5B72"/>
    <w:rsid w:val="003E71C1"/>
    <w:rsid w:val="003F6870"/>
    <w:rsid w:val="0040207F"/>
    <w:rsid w:val="00412AF5"/>
    <w:rsid w:val="00413667"/>
    <w:rsid w:val="004155C4"/>
    <w:rsid w:val="00421111"/>
    <w:rsid w:val="00427314"/>
    <w:rsid w:val="004328B6"/>
    <w:rsid w:val="00432E4F"/>
    <w:rsid w:val="00436936"/>
    <w:rsid w:val="00440DE6"/>
    <w:rsid w:val="00442890"/>
    <w:rsid w:val="00443153"/>
    <w:rsid w:val="00450EE2"/>
    <w:rsid w:val="004567B7"/>
    <w:rsid w:val="00463774"/>
    <w:rsid w:val="004709F9"/>
    <w:rsid w:val="00484688"/>
    <w:rsid w:val="00485335"/>
    <w:rsid w:val="004904D7"/>
    <w:rsid w:val="00490A9C"/>
    <w:rsid w:val="004A0AA0"/>
    <w:rsid w:val="004B3E80"/>
    <w:rsid w:val="004E6A53"/>
    <w:rsid w:val="004E7D75"/>
    <w:rsid w:val="004F5F14"/>
    <w:rsid w:val="00507AFC"/>
    <w:rsid w:val="00513CFA"/>
    <w:rsid w:val="00520B80"/>
    <w:rsid w:val="0054014A"/>
    <w:rsid w:val="00540AEE"/>
    <w:rsid w:val="00566235"/>
    <w:rsid w:val="005920DD"/>
    <w:rsid w:val="00592A3D"/>
    <w:rsid w:val="005935AA"/>
    <w:rsid w:val="005A47A2"/>
    <w:rsid w:val="005A6B1D"/>
    <w:rsid w:val="005C31C7"/>
    <w:rsid w:val="005C4AFF"/>
    <w:rsid w:val="005C7B45"/>
    <w:rsid w:val="005D79C0"/>
    <w:rsid w:val="005E579F"/>
    <w:rsid w:val="005E6FB9"/>
    <w:rsid w:val="0060385D"/>
    <w:rsid w:val="006108AC"/>
    <w:rsid w:val="00614978"/>
    <w:rsid w:val="00617808"/>
    <w:rsid w:val="0062623A"/>
    <w:rsid w:val="00632E45"/>
    <w:rsid w:val="006364EE"/>
    <w:rsid w:val="00642073"/>
    <w:rsid w:val="006427E3"/>
    <w:rsid w:val="006459E3"/>
    <w:rsid w:val="00645D2B"/>
    <w:rsid w:val="006464D3"/>
    <w:rsid w:val="00650F9C"/>
    <w:rsid w:val="00651D27"/>
    <w:rsid w:val="0065584C"/>
    <w:rsid w:val="00656BE7"/>
    <w:rsid w:val="00660198"/>
    <w:rsid w:val="00662B5E"/>
    <w:rsid w:val="0066309C"/>
    <w:rsid w:val="0066432C"/>
    <w:rsid w:val="006648A4"/>
    <w:rsid w:val="00667D7D"/>
    <w:rsid w:val="006713B0"/>
    <w:rsid w:val="00671E35"/>
    <w:rsid w:val="00676A0F"/>
    <w:rsid w:val="006773AE"/>
    <w:rsid w:val="00680B97"/>
    <w:rsid w:val="00680C31"/>
    <w:rsid w:val="00680F1B"/>
    <w:rsid w:val="00687526"/>
    <w:rsid w:val="006A04E7"/>
    <w:rsid w:val="006A369E"/>
    <w:rsid w:val="006B232D"/>
    <w:rsid w:val="006C6C69"/>
    <w:rsid w:val="006D58F3"/>
    <w:rsid w:val="006D753B"/>
    <w:rsid w:val="006E2D52"/>
    <w:rsid w:val="006F2298"/>
    <w:rsid w:val="006F2614"/>
    <w:rsid w:val="006F2F8C"/>
    <w:rsid w:val="006F67E8"/>
    <w:rsid w:val="00702144"/>
    <w:rsid w:val="00702991"/>
    <w:rsid w:val="00703167"/>
    <w:rsid w:val="007054BE"/>
    <w:rsid w:val="00713515"/>
    <w:rsid w:val="00717A99"/>
    <w:rsid w:val="007208EB"/>
    <w:rsid w:val="00726B56"/>
    <w:rsid w:val="0072711E"/>
    <w:rsid w:val="0074222D"/>
    <w:rsid w:val="00742D3E"/>
    <w:rsid w:val="00743F86"/>
    <w:rsid w:val="007453A7"/>
    <w:rsid w:val="0075424F"/>
    <w:rsid w:val="0075465A"/>
    <w:rsid w:val="00770129"/>
    <w:rsid w:val="00783FEB"/>
    <w:rsid w:val="00784EC9"/>
    <w:rsid w:val="007A6B32"/>
    <w:rsid w:val="007B3A85"/>
    <w:rsid w:val="007D45C3"/>
    <w:rsid w:val="007D55F3"/>
    <w:rsid w:val="007D6FDA"/>
    <w:rsid w:val="007E6515"/>
    <w:rsid w:val="007E72F3"/>
    <w:rsid w:val="007F131A"/>
    <w:rsid w:val="007F5D2A"/>
    <w:rsid w:val="00800C4F"/>
    <w:rsid w:val="00803B1E"/>
    <w:rsid w:val="00803C08"/>
    <w:rsid w:val="00806B89"/>
    <w:rsid w:val="008159C2"/>
    <w:rsid w:val="00816B62"/>
    <w:rsid w:val="00821249"/>
    <w:rsid w:val="0082163C"/>
    <w:rsid w:val="00824D7B"/>
    <w:rsid w:val="008305AF"/>
    <w:rsid w:val="00830A3D"/>
    <w:rsid w:val="0083441F"/>
    <w:rsid w:val="008445AB"/>
    <w:rsid w:val="00852516"/>
    <w:rsid w:val="00855F17"/>
    <w:rsid w:val="00877092"/>
    <w:rsid w:val="00885CC3"/>
    <w:rsid w:val="00892ADD"/>
    <w:rsid w:val="00895EA9"/>
    <w:rsid w:val="008A048F"/>
    <w:rsid w:val="008A100B"/>
    <w:rsid w:val="008A1601"/>
    <w:rsid w:val="008A5AB6"/>
    <w:rsid w:val="008A6425"/>
    <w:rsid w:val="008B07BF"/>
    <w:rsid w:val="008B4265"/>
    <w:rsid w:val="008C2341"/>
    <w:rsid w:val="008D6625"/>
    <w:rsid w:val="008D7058"/>
    <w:rsid w:val="008E068E"/>
    <w:rsid w:val="008E68DF"/>
    <w:rsid w:val="00901560"/>
    <w:rsid w:val="009031A7"/>
    <w:rsid w:val="00903D85"/>
    <w:rsid w:val="00914E0A"/>
    <w:rsid w:val="00916DBA"/>
    <w:rsid w:val="009176C2"/>
    <w:rsid w:val="00924ACE"/>
    <w:rsid w:val="00924CCB"/>
    <w:rsid w:val="00925E7F"/>
    <w:rsid w:val="009476D4"/>
    <w:rsid w:val="00973E46"/>
    <w:rsid w:val="009761CF"/>
    <w:rsid w:val="009772C7"/>
    <w:rsid w:val="00983596"/>
    <w:rsid w:val="00986C56"/>
    <w:rsid w:val="009A61AC"/>
    <w:rsid w:val="009A7C6B"/>
    <w:rsid w:val="009B0FAF"/>
    <w:rsid w:val="009B133F"/>
    <w:rsid w:val="009B3856"/>
    <w:rsid w:val="009B3AAA"/>
    <w:rsid w:val="009C24B1"/>
    <w:rsid w:val="009C4552"/>
    <w:rsid w:val="009C473E"/>
    <w:rsid w:val="009D4FDB"/>
    <w:rsid w:val="009D6340"/>
    <w:rsid w:val="009F41B2"/>
    <w:rsid w:val="009F4B23"/>
    <w:rsid w:val="009F6422"/>
    <w:rsid w:val="009F70AC"/>
    <w:rsid w:val="00A010FE"/>
    <w:rsid w:val="00A02B64"/>
    <w:rsid w:val="00A06A20"/>
    <w:rsid w:val="00A124EE"/>
    <w:rsid w:val="00A12A7E"/>
    <w:rsid w:val="00A21BDF"/>
    <w:rsid w:val="00A31B40"/>
    <w:rsid w:val="00A34B32"/>
    <w:rsid w:val="00A445FA"/>
    <w:rsid w:val="00A45A3B"/>
    <w:rsid w:val="00A565FD"/>
    <w:rsid w:val="00A765D3"/>
    <w:rsid w:val="00A821C2"/>
    <w:rsid w:val="00A83849"/>
    <w:rsid w:val="00AB2578"/>
    <w:rsid w:val="00AC5D52"/>
    <w:rsid w:val="00AD2620"/>
    <w:rsid w:val="00AF310E"/>
    <w:rsid w:val="00B00BEC"/>
    <w:rsid w:val="00B00F5A"/>
    <w:rsid w:val="00B0401B"/>
    <w:rsid w:val="00B10AC4"/>
    <w:rsid w:val="00B234FA"/>
    <w:rsid w:val="00B23DD1"/>
    <w:rsid w:val="00B24819"/>
    <w:rsid w:val="00B24AAC"/>
    <w:rsid w:val="00B31E6D"/>
    <w:rsid w:val="00B33C4B"/>
    <w:rsid w:val="00B365F1"/>
    <w:rsid w:val="00B43C27"/>
    <w:rsid w:val="00B53ED3"/>
    <w:rsid w:val="00B67850"/>
    <w:rsid w:val="00B71968"/>
    <w:rsid w:val="00B74C85"/>
    <w:rsid w:val="00B86265"/>
    <w:rsid w:val="00B86ABA"/>
    <w:rsid w:val="00B93429"/>
    <w:rsid w:val="00B97667"/>
    <w:rsid w:val="00BB42CF"/>
    <w:rsid w:val="00BB56B2"/>
    <w:rsid w:val="00BC027D"/>
    <w:rsid w:val="00BD261F"/>
    <w:rsid w:val="00BE40C7"/>
    <w:rsid w:val="00BF5941"/>
    <w:rsid w:val="00BF7C31"/>
    <w:rsid w:val="00C03E3A"/>
    <w:rsid w:val="00C0634B"/>
    <w:rsid w:val="00C20038"/>
    <w:rsid w:val="00C27C1E"/>
    <w:rsid w:val="00C478C2"/>
    <w:rsid w:val="00C54334"/>
    <w:rsid w:val="00C556B6"/>
    <w:rsid w:val="00C56F18"/>
    <w:rsid w:val="00C751FD"/>
    <w:rsid w:val="00C76526"/>
    <w:rsid w:val="00C830B0"/>
    <w:rsid w:val="00CA3347"/>
    <w:rsid w:val="00CA4396"/>
    <w:rsid w:val="00CB618D"/>
    <w:rsid w:val="00CB6F63"/>
    <w:rsid w:val="00CC65FC"/>
    <w:rsid w:val="00CD1676"/>
    <w:rsid w:val="00CD1776"/>
    <w:rsid w:val="00CD362D"/>
    <w:rsid w:val="00CD4257"/>
    <w:rsid w:val="00D05D72"/>
    <w:rsid w:val="00D33452"/>
    <w:rsid w:val="00D34378"/>
    <w:rsid w:val="00D403E1"/>
    <w:rsid w:val="00D50A9E"/>
    <w:rsid w:val="00D52B95"/>
    <w:rsid w:val="00D6107C"/>
    <w:rsid w:val="00D624E0"/>
    <w:rsid w:val="00D63A7E"/>
    <w:rsid w:val="00D65F50"/>
    <w:rsid w:val="00D661FC"/>
    <w:rsid w:val="00D72523"/>
    <w:rsid w:val="00D72C61"/>
    <w:rsid w:val="00D73517"/>
    <w:rsid w:val="00D873B7"/>
    <w:rsid w:val="00DA1956"/>
    <w:rsid w:val="00DC7A3E"/>
    <w:rsid w:val="00DD04C4"/>
    <w:rsid w:val="00DF1847"/>
    <w:rsid w:val="00DF348C"/>
    <w:rsid w:val="00DF4EBE"/>
    <w:rsid w:val="00DF54BF"/>
    <w:rsid w:val="00E10766"/>
    <w:rsid w:val="00E13CCF"/>
    <w:rsid w:val="00E17A8B"/>
    <w:rsid w:val="00E202CE"/>
    <w:rsid w:val="00E21281"/>
    <w:rsid w:val="00E2538F"/>
    <w:rsid w:val="00E25F00"/>
    <w:rsid w:val="00E32A31"/>
    <w:rsid w:val="00E338DF"/>
    <w:rsid w:val="00E5161E"/>
    <w:rsid w:val="00E61422"/>
    <w:rsid w:val="00E6521A"/>
    <w:rsid w:val="00E7088A"/>
    <w:rsid w:val="00E85477"/>
    <w:rsid w:val="00E94643"/>
    <w:rsid w:val="00EB4440"/>
    <w:rsid w:val="00EC15FB"/>
    <w:rsid w:val="00ED1FCD"/>
    <w:rsid w:val="00ED3D09"/>
    <w:rsid w:val="00EE4A16"/>
    <w:rsid w:val="00EF2AF9"/>
    <w:rsid w:val="00EF7FDE"/>
    <w:rsid w:val="00F0078E"/>
    <w:rsid w:val="00F00E95"/>
    <w:rsid w:val="00F1762B"/>
    <w:rsid w:val="00F23A34"/>
    <w:rsid w:val="00F24120"/>
    <w:rsid w:val="00F24712"/>
    <w:rsid w:val="00F27B03"/>
    <w:rsid w:val="00F31FED"/>
    <w:rsid w:val="00F40DF7"/>
    <w:rsid w:val="00F42009"/>
    <w:rsid w:val="00F43984"/>
    <w:rsid w:val="00F4748B"/>
    <w:rsid w:val="00F5043D"/>
    <w:rsid w:val="00F56266"/>
    <w:rsid w:val="00F80115"/>
    <w:rsid w:val="00F84763"/>
    <w:rsid w:val="00F863FC"/>
    <w:rsid w:val="00F909E3"/>
    <w:rsid w:val="00F96931"/>
    <w:rsid w:val="00FA2325"/>
    <w:rsid w:val="00FB4293"/>
    <w:rsid w:val="00FB77CF"/>
    <w:rsid w:val="00FC28B5"/>
    <w:rsid w:val="00FC50F0"/>
    <w:rsid w:val="00FC6106"/>
    <w:rsid w:val="00FD0B1E"/>
    <w:rsid w:val="00FF1C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4AFF"/>
    <w:pPr>
      <w:spacing w:after="120" w:line="360" w:lineRule="auto"/>
      <w:jc w:val="both"/>
    </w:pPr>
    <w:rPr>
      <w:lang w:eastAsia="en-US"/>
    </w:rPr>
  </w:style>
  <w:style w:type="paragraph" w:styleId="Nadpis1">
    <w:name w:val="heading 1"/>
    <w:aliases w:val="Nadpis 1-římsky"/>
    <w:basedOn w:val="Normln"/>
    <w:next w:val="Normln"/>
    <w:link w:val="Nadpis1Char"/>
    <w:uiPriority w:val="99"/>
    <w:qFormat/>
    <w:rsid w:val="006F67E8"/>
    <w:pPr>
      <w:keepNext/>
      <w:numPr>
        <w:numId w:val="8"/>
      </w:numPr>
      <w:spacing w:before="120"/>
      <w:outlineLvl w:val="0"/>
    </w:pPr>
    <w:rPr>
      <w:rFonts w:ascii="Times New Roman" w:eastAsia="Times New Roman" w:hAnsi="Times New Roman"/>
      <w:b/>
      <w:sz w:val="28"/>
      <w:szCs w:val="24"/>
      <w:lang w:eastAsia="cs-CZ"/>
    </w:rPr>
  </w:style>
  <w:style w:type="paragraph" w:styleId="Nadpis3">
    <w:name w:val="heading 3"/>
    <w:basedOn w:val="Normln"/>
    <w:next w:val="Normln"/>
    <w:link w:val="Nadpis3Char"/>
    <w:uiPriority w:val="99"/>
    <w:qFormat/>
    <w:rsid w:val="006F67E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římsky Char"/>
    <w:basedOn w:val="Standardnpsmoodstavce"/>
    <w:link w:val="Nadpis1"/>
    <w:uiPriority w:val="99"/>
    <w:locked/>
    <w:rsid w:val="006F67E8"/>
    <w:rPr>
      <w:rFonts w:ascii="Times New Roman" w:hAnsi="Times New Roman" w:cs="Times New Roman"/>
      <w:b/>
      <w:sz w:val="24"/>
      <w:szCs w:val="24"/>
      <w:lang w:eastAsia="cs-CZ"/>
    </w:rPr>
  </w:style>
  <w:style w:type="character" w:customStyle="1" w:styleId="Nadpis3Char">
    <w:name w:val="Nadpis 3 Char"/>
    <w:basedOn w:val="Standardnpsmoodstavce"/>
    <w:link w:val="Nadpis3"/>
    <w:uiPriority w:val="99"/>
    <w:locked/>
    <w:rsid w:val="006F67E8"/>
    <w:rPr>
      <w:rFonts w:ascii="Arial" w:hAnsi="Arial" w:cs="Arial"/>
      <w:b/>
      <w:bCs/>
      <w:sz w:val="26"/>
      <w:szCs w:val="26"/>
      <w:lang w:eastAsia="cs-CZ"/>
    </w:rPr>
  </w:style>
  <w:style w:type="paragraph" w:styleId="Odstavecseseznamem">
    <w:name w:val="List Paragraph"/>
    <w:basedOn w:val="Normln"/>
    <w:link w:val="OdstavecseseznamemChar"/>
    <w:uiPriority w:val="99"/>
    <w:qFormat/>
    <w:rsid w:val="00901560"/>
    <w:pPr>
      <w:ind w:left="720"/>
      <w:contextualSpacing/>
    </w:pPr>
  </w:style>
  <w:style w:type="paragraph" w:styleId="Zkladntext">
    <w:name w:val="Body Text"/>
    <w:basedOn w:val="Normln"/>
    <w:link w:val="ZkladntextChar"/>
    <w:uiPriority w:val="99"/>
    <w:semiHidden/>
    <w:rsid w:val="002405F4"/>
  </w:style>
  <w:style w:type="character" w:customStyle="1" w:styleId="ZkladntextChar">
    <w:name w:val="Základní text Char"/>
    <w:basedOn w:val="Standardnpsmoodstavce"/>
    <w:link w:val="Zkladntext"/>
    <w:uiPriority w:val="99"/>
    <w:semiHidden/>
    <w:locked/>
    <w:rsid w:val="002405F4"/>
    <w:rPr>
      <w:rFonts w:cs="Times New Roman"/>
    </w:rPr>
  </w:style>
  <w:style w:type="paragraph" w:styleId="Textkomente">
    <w:name w:val="annotation text"/>
    <w:basedOn w:val="Normln"/>
    <w:link w:val="TextkomenteChar"/>
    <w:uiPriority w:val="99"/>
    <w:rsid w:val="006F67E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6F67E8"/>
    <w:rPr>
      <w:rFonts w:ascii="Times New Roman" w:hAnsi="Times New Roman" w:cs="Times New Roman"/>
      <w:sz w:val="20"/>
      <w:szCs w:val="20"/>
      <w:lang w:eastAsia="cs-CZ"/>
    </w:rPr>
  </w:style>
  <w:style w:type="paragraph" w:customStyle="1" w:styleId="Odstavecseseznamem1">
    <w:name w:val="Odstavec se seznamem1"/>
    <w:basedOn w:val="Normln"/>
    <w:uiPriority w:val="99"/>
    <w:rsid w:val="006F67E8"/>
    <w:pPr>
      <w:ind w:left="720"/>
    </w:pPr>
    <w:rPr>
      <w:rFonts w:ascii="Arial" w:eastAsia="Times New Roman" w:hAnsi="Arial" w:cs="Arial"/>
      <w:sz w:val="24"/>
      <w:szCs w:val="24"/>
    </w:rPr>
  </w:style>
  <w:style w:type="paragraph" w:styleId="Zkladntextodsazen">
    <w:name w:val="Body Text Indent"/>
    <w:basedOn w:val="Normln"/>
    <w:link w:val="ZkladntextodsazenChar"/>
    <w:uiPriority w:val="99"/>
    <w:rsid w:val="006F67E8"/>
    <w:pPr>
      <w:spacing w:after="0" w:line="240" w:lineRule="auto"/>
      <w:ind w:left="-540"/>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6F67E8"/>
    <w:rPr>
      <w:rFonts w:ascii="Times New Roman" w:hAnsi="Times New Roman" w:cs="Times New Roman"/>
      <w:sz w:val="24"/>
      <w:szCs w:val="24"/>
      <w:lang w:eastAsia="cs-CZ"/>
    </w:rPr>
  </w:style>
  <w:style w:type="paragraph" w:customStyle="1" w:styleId="Zkladntext1">
    <w:name w:val="Základní text1"/>
    <w:uiPriority w:val="99"/>
    <w:rsid w:val="006F67E8"/>
    <w:pPr>
      <w:jc w:val="both"/>
    </w:pPr>
    <w:rPr>
      <w:rFonts w:ascii="Arial" w:eastAsia="Times New Roman" w:hAnsi="Arial" w:cs="Arial"/>
      <w:color w:val="000000"/>
      <w:sz w:val="19"/>
      <w:szCs w:val="19"/>
      <w:lang w:eastAsia="en-US"/>
    </w:rPr>
  </w:style>
  <w:style w:type="paragraph" w:styleId="Zhlav">
    <w:name w:val="header"/>
    <w:basedOn w:val="Normln"/>
    <w:link w:val="ZhlavChar"/>
    <w:uiPriority w:val="99"/>
    <w:rsid w:val="006F67E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6F67E8"/>
    <w:rPr>
      <w:rFonts w:ascii="Times New Roman" w:hAnsi="Times New Roman" w:cs="Times New Roman"/>
      <w:sz w:val="24"/>
      <w:szCs w:val="24"/>
      <w:lang w:eastAsia="cs-CZ"/>
    </w:rPr>
  </w:style>
  <w:style w:type="paragraph" w:styleId="Zpat">
    <w:name w:val="footer"/>
    <w:basedOn w:val="Normln"/>
    <w:link w:val="ZpatChar"/>
    <w:uiPriority w:val="99"/>
    <w:rsid w:val="006F67E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6F67E8"/>
    <w:rPr>
      <w:rFonts w:ascii="Times New Roman" w:hAnsi="Times New Roman" w:cs="Times New Roman"/>
      <w:sz w:val="24"/>
      <w:szCs w:val="24"/>
      <w:lang w:eastAsia="cs-CZ"/>
    </w:rPr>
  </w:style>
  <w:style w:type="paragraph" w:styleId="Textbubliny">
    <w:name w:val="Balloon Text"/>
    <w:basedOn w:val="Normln"/>
    <w:link w:val="TextbublinyChar"/>
    <w:uiPriority w:val="99"/>
    <w:rsid w:val="006F67E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locked/>
    <w:rsid w:val="006F67E8"/>
    <w:rPr>
      <w:rFonts w:ascii="Tahoma" w:hAnsi="Tahoma" w:cs="Tahoma"/>
      <w:sz w:val="16"/>
      <w:szCs w:val="16"/>
      <w:lang w:eastAsia="cs-CZ"/>
    </w:rPr>
  </w:style>
  <w:style w:type="character" w:styleId="Odkaznakoment">
    <w:name w:val="annotation reference"/>
    <w:basedOn w:val="Standardnpsmoodstavce"/>
    <w:uiPriority w:val="99"/>
    <w:rsid w:val="006F67E8"/>
    <w:rPr>
      <w:rFonts w:cs="Times New Roman"/>
      <w:sz w:val="16"/>
      <w:szCs w:val="16"/>
    </w:rPr>
  </w:style>
  <w:style w:type="paragraph" w:styleId="Pedmtkomente">
    <w:name w:val="annotation subject"/>
    <w:basedOn w:val="Textkomente"/>
    <w:next w:val="Textkomente"/>
    <w:link w:val="PedmtkomenteChar"/>
    <w:uiPriority w:val="99"/>
    <w:semiHidden/>
    <w:rsid w:val="006F67E8"/>
    <w:rPr>
      <w:b/>
      <w:bCs/>
    </w:rPr>
  </w:style>
  <w:style w:type="character" w:customStyle="1" w:styleId="PedmtkomenteChar">
    <w:name w:val="Předmět komentáře Char"/>
    <w:basedOn w:val="TextkomenteChar"/>
    <w:link w:val="Pedmtkomente"/>
    <w:uiPriority w:val="99"/>
    <w:semiHidden/>
    <w:locked/>
    <w:rsid w:val="006F67E8"/>
    <w:rPr>
      <w:rFonts w:ascii="Times New Roman" w:hAnsi="Times New Roman" w:cs="Times New Roman"/>
      <w:b/>
      <w:bCs/>
      <w:sz w:val="20"/>
      <w:szCs w:val="20"/>
      <w:lang w:eastAsia="cs-CZ"/>
    </w:rPr>
  </w:style>
  <w:style w:type="paragraph" w:styleId="Zkladntextodsazen2">
    <w:name w:val="Body Text Indent 2"/>
    <w:basedOn w:val="Normln"/>
    <w:link w:val="Zkladntextodsazen2Char"/>
    <w:uiPriority w:val="99"/>
    <w:rsid w:val="006F67E8"/>
    <w:pPr>
      <w:spacing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6F67E8"/>
    <w:rPr>
      <w:rFonts w:ascii="Times New Roman" w:hAnsi="Times New Roman" w:cs="Times New Roman"/>
      <w:sz w:val="24"/>
      <w:szCs w:val="24"/>
      <w:lang w:eastAsia="cs-CZ"/>
    </w:rPr>
  </w:style>
  <w:style w:type="paragraph" w:customStyle="1" w:styleId="Popisky">
    <w:name w:val="Popisky"/>
    <w:uiPriority w:val="99"/>
    <w:rsid w:val="006F67E8"/>
    <w:pPr>
      <w:jc w:val="both"/>
    </w:pPr>
    <w:rPr>
      <w:rFonts w:ascii="Arial" w:eastAsia="Times New Roman" w:hAnsi="Arial"/>
      <w:sz w:val="20"/>
      <w:szCs w:val="20"/>
    </w:rPr>
  </w:style>
  <w:style w:type="paragraph" w:styleId="Obsah1">
    <w:name w:val="toc 1"/>
    <w:basedOn w:val="Normln"/>
    <w:next w:val="Normln"/>
    <w:autoRedefine/>
    <w:uiPriority w:val="99"/>
    <w:rsid w:val="006F67E8"/>
    <w:pPr>
      <w:tabs>
        <w:tab w:val="right" w:leader="dot" w:pos="9214"/>
      </w:tabs>
      <w:spacing w:after="0" w:line="480" w:lineRule="auto"/>
      <w:ind w:left="1276" w:hanging="1418"/>
    </w:pPr>
    <w:rPr>
      <w:rFonts w:ascii="Times New Roman" w:eastAsia="Times New Roman" w:hAnsi="Times New Roman"/>
      <w:sz w:val="24"/>
      <w:szCs w:val="24"/>
      <w:lang w:eastAsia="cs-CZ"/>
    </w:rPr>
  </w:style>
  <w:style w:type="character" w:styleId="Hypertextovodkaz">
    <w:name w:val="Hyperlink"/>
    <w:basedOn w:val="Standardnpsmoodstavce"/>
    <w:uiPriority w:val="99"/>
    <w:rsid w:val="006F67E8"/>
    <w:rPr>
      <w:rFonts w:cs="Times New Roman"/>
      <w:color w:val="0000FF"/>
      <w:u w:val="single"/>
    </w:rPr>
  </w:style>
  <w:style w:type="paragraph" w:customStyle="1" w:styleId="Odstavecseseznamem2">
    <w:name w:val="Odstavec se seznamem2"/>
    <w:basedOn w:val="Normln"/>
    <w:uiPriority w:val="99"/>
    <w:rsid w:val="006F67E8"/>
    <w:pPr>
      <w:spacing w:after="0" w:line="240" w:lineRule="auto"/>
      <w:ind w:left="720"/>
      <w:contextualSpacing/>
    </w:pPr>
    <w:rPr>
      <w:rFonts w:ascii="Times New Roman" w:hAnsi="Times New Roman"/>
      <w:sz w:val="24"/>
      <w:szCs w:val="24"/>
      <w:lang w:eastAsia="cs-CZ"/>
    </w:rPr>
  </w:style>
  <w:style w:type="paragraph" w:styleId="Zkladntext3">
    <w:name w:val="Body Text 3"/>
    <w:basedOn w:val="Normln"/>
    <w:link w:val="Zkladntext3Char"/>
    <w:uiPriority w:val="99"/>
    <w:rsid w:val="006F67E8"/>
    <w:pPr>
      <w:spacing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locked/>
    <w:rsid w:val="006F67E8"/>
    <w:rPr>
      <w:rFonts w:ascii="Times New Roman" w:hAnsi="Times New Roman" w:cs="Times New Roman"/>
      <w:sz w:val="16"/>
      <w:szCs w:val="16"/>
      <w:lang w:eastAsia="cs-CZ"/>
    </w:rPr>
  </w:style>
  <w:style w:type="paragraph" w:styleId="Textpoznpodarou">
    <w:name w:val="footnote text"/>
    <w:basedOn w:val="Normln"/>
    <w:link w:val="TextpoznpodarouChar"/>
    <w:uiPriority w:val="99"/>
    <w:semiHidden/>
    <w:rsid w:val="006F67E8"/>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6F67E8"/>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6F67E8"/>
    <w:rPr>
      <w:rFonts w:cs="Times New Roman"/>
      <w:vertAlign w:val="superscript"/>
    </w:rPr>
  </w:style>
  <w:style w:type="character" w:customStyle="1" w:styleId="fileitem4">
    <w:name w:val="fileitem4"/>
    <w:basedOn w:val="Standardnpsmoodstavce"/>
    <w:uiPriority w:val="99"/>
    <w:rsid w:val="006F67E8"/>
    <w:rPr>
      <w:rFonts w:cs="Times New Roman"/>
    </w:rPr>
  </w:style>
  <w:style w:type="character" w:styleId="Zvraznn">
    <w:name w:val="Emphasis"/>
    <w:basedOn w:val="Standardnpsmoodstavce"/>
    <w:uiPriority w:val="99"/>
    <w:qFormat/>
    <w:rsid w:val="006F67E8"/>
    <w:rPr>
      <w:rFonts w:cs="Times New Roman"/>
      <w:i/>
    </w:rPr>
  </w:style>
  <w:style w:type="paragraph" w:styleId="Pokraovnseznamu">
    <w:name w:val="List Continue"/>
    <w:basedOn w:val="Normln"/>
    <w:uiPriority w:val="99"/>
    <w:rsid w:val="006F67E8"/>
    <w:pPr>
      <w:ind w:left="283"/>
    </w:pPr>
  </w:style>
  <w:style w:type="paragraph" w:styleId="Obsah3">
    <w:name w:val="toc 3"/>
    <w:basedOn w:val="Normln"/>
    <w:next w:val="Normln"/>
    <w:autoRedefine/>
    <w:uiPriority w:val="99"/>
    <w:rsid w:val="006F67E8"/>
    <w:pPr>
      <w:spacing w:after="0" w:line="240" w:lineRule="auto"/>
      <w:ind w:left="480"/>
    </w:pPr>
    <w:rPr>
      <w:rFonts w:ascii="Times New Roman" w:eastAsia="Times New Roman" w:hAnsi="Times New Roman"/>
      <w:sz w:val="24"/>
      <w:szCs w:val="24"/>
      <w:lang w:eastAsia="cs-CZ"/>
    </w:rPr>
  </w:style>
  <w:style w:type="character" w:styleId="slostrnky">
    <w:name w:val="page number"/>
    <w:basedOn w:val="Standardnpsmoodstavce"/>
    <w:uiPriority w:val="99"/>
    <w:rsid w:val="006F67E8"/>
    <w:rPr>
      <w:rFonts w:cs="Times New Roman"/>
    </w:rPr>
  </w:style>
  <w:style w:type="paragraph" w:customStyle="1" w:styleId="normln0">
    <w:name w:val="normální_"/>
    <w:basedOn w:val="Normln"/>
    <w:uiPriority w:val="99"/>
    <w:rsid w:val="006F67E8"/>
    <w:pPr>
      <w:suppressAutoHyphens/>
      <w:spacing w:after="240" w:line="288" w:lineRule="auto"/>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99"/>
    <w:locked/>
    <w:rsid w:val="006F67E8"/>
  </w:style>
  <w:style w:type="paragraph" w:customStyle="1" w:styleId="Default">
    <w:name w:val="Default"/>
    <w:uiPriority w:val="99"/>
    <w:rsid w:val="006F67E8"/>
    <w:pPr>
      <w:autoSpaceDE w:val="0"/>
      <w:autoSpaceDN w:val="0"/>
      <w:adjustRightInd w:val="0"/>
      <w:jc w:val="both"/>
    </w:pPr>
    <w:rPr>
      <w:rFonts w:ascii="Times New Roman" w:hAnsi="Times New Roman"/>
      <w:color w:val="000000"/>
      <w:sz w:val="24"/>
      <w:szCs w:val="24"/>
      <w:lang w:eastAsia="en-US"/>
    </w:rPr>
  </w:style>
  <w:style w:type="table" w:styleId="Mkatabulky">
    <w:name w:val="Table Grid"/>
    <w:basedOn w:val="Normlntabulka"/>
    <w:uiPriority w:val="99"/>
    <w:rsid w:val="006F67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A448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4AFF"/>
    <w:pPr>
      <w:spacing w:after="120" w:line="360" w:lineRule="auto"/>
      <w:jc w:val="both"/>
    </w:pPr>
    <w:rPr>
      <w:lang w:eastAsia="en-US"/>
    </w:rPr>
  </w:style>
  <w:style w:type="paragraph" w:styleId="Nadpis1">
    <w:name w:val="heading 1"/>
    <w:aliases w:val="Nadpis 1-římsky"/>
    <w:basedOn w:val="Normln"/>
    <w:next w:val="Normln"/>
    <w:link w:val="Nadpis1Char"/>
    <w:uiPriority w:val="99"/>
    <w:qFormat/>
    <w:rsid w:val="006F67E8"/>
    <w:pPr>
      <w:keepNext/>
      <w:numPr>
        <w:numId w:val="8"/>
      </w:numPr>
      <w:spacing w:before="120"/>
      <w:outlineLvl w:val="0"/>
    </w:pPr>
    <w:rPr>
      <w:rFonts w:ascii="Times New Roman" w:eastAsia="Times New Roman" w:hAnsi="Times New Roman"/>
      <w:b/>
      <w:sz w:val="28"/>
      <w:szCs w:val="24"/>
      <w:lang w:eastAsia="cs-CZ"/>
    </w:rPr>
  </w:style>
  <w:style w:type="paragraph" w:styleId="Nadpis3">
    <w:name w:val="heading 3"/>
    <w:basedOn w:val="Normln"/>
    <w:next w:val="Normln"/>
    <w:link w:val="Nadpis3Char"/>
    <w:uiPriority w:val="99"/>
    <w:qFormat/>
    <w:rsid w:val="006F67E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římsky Char"/>
    <w:basedOn w:val="Standardnpsmoodstavce"/>
    <w:link w:val="Nadpis1"/>
    <w:uiPriority w:val="99"/>
    <w:locked/>
    <w:rsid w:val="006F67E8"/>
    <w:rPr>
      <w:rFonts w:ascii="Times New Roman" w:hAnsi="Times New Roman" w:cs="Times New Roman"/>
      <w:b/>
      <w:sz w:val="24"/>
      <w:szCs w:val="24"/>
      <w:lang w:eastAsia="cs-CZ"/>
    </w:rPr>
  </w:style>
  <w:style w:type="character" w:customStyle="1" w:styleId="Nadpis3Char">
    <w:name w:val="Nadpis 3 Char"/>
    <w:basedOn w:val="Standardnpsmoodstavce"/>
    <w:link w:val="Nadpis3"/>
    <w:uiPriority w:val="99"/>
    <w:locked/>
    <w:rsid w:val="006F67E8"/>
    <w:rPr>
      <w:rFonts w:ascii="Arial" w:hAnsi="Arial" w:cs="Arial"/>
      <w:b/>
      <w:bCs/>
      <w:sz w:val="26"/>
      <w:szCs w:val="26"/>
      <w:lang w:eastAsia="cs-CZ"/>
    </w:rPr>
  </w:style>
  <w:style w:type="paragraph" w:styleId="Odstavecseseznamem">
    <w:name w:val="List Paragraph"/>
    <w:basedOn w:val="Normln"/>
    <w:link w:val="OdstavecseseznamemChar"/>
    <w:uiPriority w:val="99"/>
    <w:qFormat/>
    <w:rsid w:val="00901560"/>
    <w:pPr>
      <w:ind w:left="720"/>
      <w:contextualSpacing/>
    </w:pPr>
  </w:style>
  <w:style w:type="paragraph" w:styleId="Zkladntext">
    <w:name w:val="Body Text"/>
    <w:basedOn w:val="Normln"/>
    <w:link w:val="ZkladntextChar"/>
    <w:uiPriority w:val="99"/>
    <w:semiHidden/>
    <w:rsid w:val="002405F4"/>
  </w:style>
  <w:style w:type="character" w:customStyle="1" w:styleId="ZkladntextChar">
    <w:name w:val="Základní text Char"/>
    <w:basedOn w:val="Standardnpsmoodstavce"/>
    <w:link w:val="Zkladntext"/>
    <w:uiPriority w:val="99"/>
    <w:semiHidden/>
    <w:locked/>
    <w:rsid w:val="002405F4"/>
    <w:rPr>
      <w:rFonts w:cs="Times New Roman"/>
    </w:rPr>
  </w:style>
  <w:style w:type="paragraph" w:styleId="Textkomente">
    <w:name w:val="annotation text"/>
    <w:basedOn w:val="Normln"/>
    <w:link w:val="TextkomenteChar"/>
    <w:uiPriority w:val="99"/>
    <w:rsid w:val="006F67E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6F67E8"/>
    <w:rPr>
      <w:rFonts w:ascii="Times New Roman" w:hAnsi="Times New Roman" w:cs="Times New Roman"/>
      <w:sz w:val="20"/>
      <w:szCs w:val="20"/>
      <w:lang w:eastAsia="cs-CZ"/>
    </w:rPr>
  </w:style>
  <w:style w:type="paragraph" w:customStyle="1" w:styleId="Odstavecseseznamem1">
    <w:name w:val="Odstavec se seznamem1"/>
    <w:basedOn w:val="Normln"/>
    <w:uiPriority w:val="99"/>
    <w:rsid w:val="006F67E8"/>
    <w:pPr>
      <w:ind w:left="720"/>
    </w:pPr>
    <w:rPr>
      <w:rFonts w:ascii="Arial" w:eastAsia="Times New Roman" w:hAnsi="Arial" w:cs="Arial"/>
      <w:sz w:val="24"/>
      <w:szCs w:val="24"/>
    </w:rPr>
  </w:style>
  <w:style w:type="paragraph" w:styleId="Zkladntextodsazen">
    <w:name w:val="Body Text Indent"/>
    <w:basedOn w:val="Normln"/>
    <w:link w:val="ZkladntextodsazenChar"/>
    <w:uiPriority w:val="99"/>
    <w:rsid w:val="006F67E8"/>
    <w:pPr>
      <w:spacing w:after="0" w:line="240" w:lineRule="auto"/>
      <w:ind w:left="-540"/>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6F67E8"/>
    <w:rPr>
      <w:rFonts w:ascii="Times New Roman" w:hAnsi="Times New Roman" w:cs="Times New Roman"/>
      <w:sz w:val="24"/>
      <w:szCs w:val="24"/>
      <w:lang w:eastAsia="cs-CZ"/>
    </w:rPr>
  </w:style>
  <w:style w:type="paragraph" w:customStyle="1" w:styleId="Zkladntext1">
    <w:name w:val="Základní text1"/>
    <w:uiPriority w:val="99"/>
    <w:rsid w:val="006F67E8"/>
    <w:pPr>
      <w:jc w:val="both"/>
    </w:pPr>
    <w:rPr>
      <w:rFonts w:ascii="Arial" w:eastAsia="Times New Roman" w:hAnsi="Arial" w:cs="Arial"/>
      <w:color w:val="000000"/>
      <w:sz w:val="19"/>
      <w:szCs w:val="19"/>
      <w:lang w:eastAsia="en-US"/>
    </w:rPr>
  </w:style>
  <w:style w:type="paragraph" w:styleId="Zhlav">
    <w:name w:val="header"/>
    <w:basedOn w:val="Normln"/>
    <w:link w:val="ZhlavChar"/>
    <w:uiPriority w:val="99"/>
    <w:rsid w:val="006F67E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6F67E8"/>
    <w:rPr>
      <w:rFonts w:ascii="Times New Roman" w:hAnsi="Times New Roman" w:cs="Times New Roman"/>
      <w:sz w:val="24"/>
      <w:szCs w:val="24"/>
      <w:lang w:eastAsia="cs-CZ"/>
    </w:rPr>
  </w:style>
  <w:style w:type="paragraph" w:styleId="Zpat">
    <w:name w:val="footer"/>
    <w:basedOn w:val="Normln"/>
    <w:link w:val="ZpatChar"/>
    <w:uiPriority w:val="99"/>
    <w:rsid w:val="006F67E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locked/>
    <w:rsid w:val="006F67E8"/>
    <w:rPr>
      <w:rFonts w:ascii="Times New Roman" w:hAnsi="Times New Roman" w:cs="Times New Roman"/>
      <w:sz w:val="24"/>
      <w:szCs w:val="24"/>
      <w:lang w:eastAsia="cs-CZ"/>
    </w:rPr>
  </w:style>
  <w:style w:type="paragraph" w:styleId="Textbubliny">
    <w:name w:val="Balloon Text"/>
    <w:basedOn w:val="Normln"/>
    <w:link w:val="TextbublinyChar"/>
    <w:uiPriority w:val="99"/>
    <w:rsid w:val="006F67E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locked/>
    <w:rsid w:val="006F67E8"/>
    <w:rPr>
      <w:rFonts w:ascii="Tahoma" w:hAnsi="Tahoma" w:cs="Tahoma"/>
      <w:sz w:val="16"/>
      <w:szCs w:val="16"/>
      <w:lang w:eastAsia="cs-CZ"/>
    </w:rPr>
  </w:style>
  <w:style w:type="character" w:styleId="Odkaznakoment">
    <w:name w:val="annotation reference"/>
    <w:basedOn w:val="Standardnpsmoodstavce"/>
    <w:uiPriority w:val="99"/>
    <w:rsid w:val="006F67E8"/>
    <w:rPr>
      <w:rFonts w:cs="Times New Roman"/>
      <w:sz w:val="16"/>
      <w:szCs w:val="16"/>
    </w:rPr>
  </w:style>
  <w:style w:type="paragraph" w:styleId="Pedmtkomente">
    <w:name w:val="annotation subject"/>
    <w:basedOn w:val="Textkomente"/>
    <w:next w:val="Textkomente"/>
    <w:link w:val="PedmtkomenteChar"/>
    <w:uiPriority w:val="99"/>
    <w:semiHidden/>
    <w:rsid w:val="006F67E8"/>
    <w:rPr>
      <w:b/>
      <w:bCs/>
    </w:rPr>
  </w:style>
  <w:style w:type="character" w:customStyle="1" w:styleId="PedmtkomenteChar">
    <w:name w:val="Předmět komentáře Char"/>
    <w:basedOn w:val="TextkomenteChar"/>
    <w:link w:val="Pedmtkomente"/>
    <w:uiPriority w:val="99"/>
    <w:semiHidden/>
    <w:locked/>
    <w:rsid w:val="006F67E8"/>
    <w:rPr>
      <w:rFonts w:ascii="Times New Roman" w:hAnsi="Times New Roman" w:cs="Times New Roman"/>
      <w:b/>
      <w:bCs/>
      <w:sz w:val="20"/>
      <w:szCs w:val="20"/>
      <w:lang w:eastAsia="cs-CZ"/>
    </w:rPr>
  </w:style>
  <w:style w:type="paragraph" w:styleId="Zkladntextodsazen2">
    <w:name w:val="Body Text Indent 2"/>
    <w:basedOn w:val="Normln"/>
    <w:link w:val="Zkladntextodsazen2Char"/>
    <w:uiPriority w:val="99"/>
    <w:rsid w:val="006F67E8"/>
    <w:pPr>
      <w:spacing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6F67E8"/>
    <w:rPr>
      <w:rFonts w:ascii="Times New Roman" w:hAnsi="Times New Roman" w:cs="Times New Roman"/>
      <w:sz w:val="24"/>
      <w:szCs w:val="24"/>
      <w:lang w:eastAsia="cs-CZ"/>
    </w:rPr>
  </w:style>
  <w:style w:type="paragraph" w:customStyle="1" w:styleId="Popisky">
    <w:name w:val="Popisky"/>
    <w:uiPriority w:val="99"/>
    <w:rsid w:val="006F67E8"/>
    <w:pPr>
      <w:jc w:val="both"/>
    </w:pPr>
    <w:rPr>
      <w:rFonts w:ascii="Arial" w:eastAsia="Times New Roman" w:hAnsi="Arial"/>
      <w:sz w:val="20"/>
      <w:szCs w:val="20"/>
    </w:rPr>
  </w:style>
  <w:style w:type="paragraph" w:styleId="Obsah1">
    <w:name w:val="toc 1"/>
    <w:basedOn w:val="Normln"/>
    <w:next w:val="Normln"/>
    <w:autoRedefine/>
    <w:uiPriority w:val="99"/>
    <w:rsid w:val="006F67E8"/>
    <w:pPr>
      <w:tabs>
        <w:tab w:val="right" w:leader="dot" w:pos="9214"/>
      </w:tabs>
      <w:spacing w:after="0" w:line="480" w:lineRule="auto"/>
      <w:ind w:left="1276" w:hanging="1418"/>
    </w:pPr>
    <w:rPr>
      <w:rFonts w:ascii="Times New Roman" w:eastAsia="Times New Roman" w:hAnsi="Times New Roman"/>
      <w:sz w:val="24"/>
      <w:szCs w:val="24"/>
      <w:lang w:eastAsia="cs-CZ"/>
    </w:rPr>
  </w:style>
  <w:style w:type="character" w:styleId="Hypertextovodkaz">
    <w:name w:val="Hyperlink"/>
    <w:basedOn w:val="Standardnpsmoodstavce"/>
    <w:uiPriority w:val="99"/>
    <w:rsid w:val="006F67E8"/>
    <w:rPr>
      <w:rFonts w:cs="Times New Roman"/>
      <w:color w:val="0000FF"/>
      <w:u w:val="single"/>
    </w:rPr>
  </w:style>
  <w:style w:type="paragraph" w:customStyle="1" w:styleId="Odstavecseseznamem2">
    <w:name w:val="Odstavec se seznamem2"/>
    <w:basedOn w:val="Normln"/>
    <w:uiPriority w:val="99"/>
    <w:rsid w:val="006F67E8"/>
    <w:pPr>
      <w:spacing w:after="0" w:line="240" w:lineRule="auto"/>
      <w:ind w:left="720"/>
      <w:contextualSpacing/>
    </w:pPr>
    <w:rPr>
      <w:rFonts w:ascii="Times New Roman" w:hAnsi="Times New Roman"/>
      <w:sz w:val="24"/>
      <w:szCs w:val="24"/>
      <w:lang w:eastAsia="cs-CZ"/>
    </w:rPr>
  </w:style>
  <w:style w:type="paragraph" w:styleId="Zkladntext3">
    <w:name w:val="Body Text 3"/>
    <w:basedOn w:val="Normln"/>
    <w:link w:val="Zkladntext3Char"/>
    <w:uiPriority w:val="99"/>
    <w:rsid w:val="006F67E8"/>
    <w:pPr>
      <w:spacing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locked/>
    <w:rsid w:val="006F67E8"/>
    <w:rPr>
      <w:rFonts w:ascii="Times New Roman" w:hAnsi="Times New Roman" w:cs="Times New Roman"/>
      <w:sz w:val="16"/>
      <w:szCs w:val="16"/>
      <w:lang w:eastAsia="cs-CZ"/>
    </w:rPr>
  </w:style>
  <w:style w:type="paragraph" w:styleId="Textpoznpodarou">
    <w:name w:val="footnote text"/>
    <w:basedOn w:val="Normln"/>
    <w:link w:val="TextpoznpodarouChar"/>
    <w:uiPriority w:val="99"/>
    <w:semiHidden/>
    <w:rsid w:val="006F67E8"/>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6F67E8"/>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6F67E8"/>
    <w:rPr>
      <w:rFonts w:cs="Times New Roman"/>
      <w:vertAlign w:val="superscript"/>
    </w:rPr>
  </w:style>
  <w:style w:type="character" w:customStyle="1" w:styleId="fileitem4">
    <w:name w:val="fileitem4"/>
    <w:basedOn w:val="Standardnpsmoodstavce"/>
    <w:uiPriority w:val="99"/>
    <w:rsid w:val="006F67E8"/>
    <w:rPr>
      <w:rFonts w:cs="Times New Roman"/>
    </w:rPr>
  </w:style>
  <w:style w:type="character" w:styleId="Zvraznn">
    <w:name w:val="Emphasis"/>
    <w:basedOn w:val="Standardnpsmoodstavce"/>
    <w:uiPriority w:val="99"/>
    <w:qFormat/>
    <w:rsid w:val="006F67E8"/>
    <w:rPr>
      <w:rFonts w:cs="Times New Roman"/>
      <w:i/>
    </w:rPr>
  </w:style>
  <w:style w:type="paragraph" w:styleId="Pokraovnseznamu">
    <w:name w:val="List Continue"/>
    <w:basedOn w:val="Normln"/>
    <w:uiPriority w:val="99"/>
    <w:rsid w:val="006F67E8"/>
    <w:pPr>
      <w:ind w:left="283"/>
    </w:pPr>
  </w:style>
  <w:style w:type="paragraph" w:styleId="Obsah3">
    <w:name w:val="toc 3"/>
    <w:basedOn w:val="Normln"/>
    <w:next w:val="Normln"/>
    <w:autoRedefine/>
    <w:uiPriority w:val="99"/>
    <w:rsid w:val="006F67E8"/>
    <w:pPr>
      <w:spacing w:after="0" w:line="240" w:lineRule="auto"/>
      <w:ind w:left="480"/>
    </w:pPr>
    <w:rPr>
      <w:rFonts w:ascii="Times New Roman" w:eastAsia="Times New Roman" w:hAnsi="Times New Roman"/>
      <w:sz w:val="24"/>
      <w:szCs w:val="24"/>
      <w:lang w:eastAsia="cs-CZ"/>
    </w:rPr>
  </w:style>
  <w:style w:type="character" w:styleId="slostrnky">
    <w:name w:val="page number"/>
    <w:basedOn w:val="Standardnpsmoodstavce"/>
    <w:uiPriority w:val="99"/>
    <w:rsid w:val="006F67E8"/>
    <w:rPr>
      <w:rFonts w:cs="Times New Roman"/>
    </w:rPr>
  </w:style>
  <w:style w:type="paragraph" w:customStyle="1" w:styleId="normln0">
    <w:name w:val="normální_"/>
    <w:basedOn w:val="Normln"/>
    <w:uiPriority w:val="99"/>
    <w:rsid w:val="006F67E8"/>
    <w:pPr>
      <w:suppressAutoHyphens/>
      <w:spacing w:after="240" w:line="288" w:lineRule="auto"/>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99"/>
    <w:locked/>
    <w:rsid w:val="006F67E8"/>
  </w:style>
  <w:style w:type="paragraph" w:customStyle="1" w:styleId="Default">
    <w:name w:val="Default"/>
    <w:uiPriority w:val="99"/>
    <w:rsid w:val="006F67E8"/>
    <w:pPr>
      <w:autoSpaceDE w:val="0"/>
      <w:autoSpaceDN w:val="0"/>
      <w:adjustRightInd w:val="0"/>
      <w:jc w:val="both"/>
    </w:pPr>
    <w:rPr>
      <w:rFonts w:ascii="Times New Roman" w:hAnsi="Times New Roman"/>
      <w:color w:val="000000"/>
      <w:sz w:val="24"/>
      <w:szCs w:val="24"/>
      <w:lang w:eastAsia="en-US"/>
    </w:rPr>
  </w:style>
  <w:style w:type="table" w:styleId="Mkatabulky">
    <w:name w:val="Table Grid"/>
    <w:basedOn w:val="Normlntabulka"/>
    <w:uiPriority w:val="99"/>
    <w:rsid w:val="006F67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A44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0386">
      <w:marLeft w:val="0"/>
      <w:marRight w:val="0"/>
      <w:marTop w:val="0"/>
      <w:marBottom w:val="0"/>
      <w:divBdr>
        <w:top w:val="none" w:sz="0" w:space="0" w:color="auto"/>
        <w:left w:val="none" w:sz="0" w:space="0" w:color="auto"/>
        <w:bottom w:val="none" w:sz="0" w:space="0" w:color="auto"/>
        <w:right w:val="none" w:sz="0" w:space="0" w:color="auto"/>
      </w:divBdr>
    </w:div>
    <w:div w:id="1031880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Se&#353;it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49" b="0" i="0" u="none" strike="noStrike" baseline="0">
                <a:solidFill>
                  <a:srgbClr val="000000"/>
                </a:solidFill>
                <a:latin typeface="Arial"/>
                <a:ea typeface="Arial"/>
                <a:cs typeface="Arial"/>
              </a:defRPr>
            </a:pPr>
            <a:r>
              <a:rPr lang="cs-CZ" sz="944" b="1" i="0" u="none" strike="noStrike" baseline="0">
                <a:solidFill>
                  <a:srgbClr val="000000"/>
                </a:solidFill>
                <a:latin typeface="Arial"/>
                <a:cs typeface="Arial"/>
              </a:rPr>
              <a:t>Nové nesrovnalosti nahlášené úřadu OLAF za oblast SF a FS v roce 2014 </a:t>
            </a:r>
            <a:r>
              <a:rPr lang="cs-CZ" sz="944" b="0" i="1" u="none" strike="noStrike" baseline="0">
                <a:solidFill>
                  <a:srgbClr val="000000"/>
                </a:solidFill>
                <a:latin typeface="Arial"/>
                <a:cs typeface="Arial"/>
              </a:rPr>
              <a:t>(programové období 2004 - 2006)</a:t>
            </a:r>
          </a:p>
        </c:rich>
      </c:tx>
      <c:layout>
        <c:manualLayout>
          <c:xMode val="edge"/>
          <c:yMode val="edge"/>
          <c:x val="0.11787830092666989"/>
          <c:y val="3.3994249012388809E-2"/>
        </c:manualLayout>
      </c:layout>
      <c:overlay val="0"/>
      <c:spPr>
        <a:noFill/>
        <a:ln w="25369">
          <a:noFill/>
        </a:ln>
      </c:spPr>
    </c:title>
    <c:autoTitleDeleted val="0"/>
    <c:plotArea>
      <c:layout>
        <c:manualLayout>
          <c:layoutTarget val="inner"/>
          <c:xMode val="edge"/>
          <c:yMode val="edge"/>
          <c:x val="9.8459994200441686E-2"/>
          <c:y val="0.14164305949008499"/>
          <c:w val="0.86836935751303079"/>
          <c:h val="0.64778092540132204"/>
        </c:manualLayout>
      </c:layout>
      <c:barChart>
        <c:barDir val="col"/>
        <c:grouping val="clustered"/>
        <c:varyColors val="0"/>
        <c:ser>
          <c:idx val="0"/>
          <c:order val="0"/>
          <c:spPr>
            <a:solidFill>
              <a:srgbClr val="FF0000"/>
            </a:solidFill>
            <a:ln w="12665">
              <a:solidFill>
                <a:srgbClr val="000000"/>
              </a:solidFill>
              <a:prstDash val="solid"/>
            </a:ln>
          </c:spPr>
          <c:invertIfNegative val="0"/>
          <c:dLbls>
            <c:dLbl>
              <c:idx val="0"/>
              <c:tx>
                <c:rich>
                  <a:bodyPr/>
                  <a:lstStyle/>
                  <a:p>
                    <a:pPr>
                      <a:defRPr sz="798" b="0" i="0" u="none" strike="noStrike" baseline="0">
                        <a:solidFill>
                          <a:srgbClr val="000000"/>
                        </a:solidFill>
                        <a:latin typeface="Arial"/>
                        <a:ea typeface="Arial"/>
                        <a:cs typeface="Arial"/>
                      </a:defRPr>
                    </a:pPr>
                    <a:r>
                      <a:rPr lang="cs-CZ"/>
                      <a:t>87</a:t>
                    </a:r>
                  </a:p>
                </c:rich>
              </c:tx>
              <c:spPr>
                <a:noFill/>
                <a:ln w="25369">
                  <a:noFill/>
                </a:ln>
              </c:spPr>
              <c:showLegendKey val="0"/>
              <c:showVal val="0"/>
              <c:showCatName val="0"/>
              <c:showSerName val="0"/>
              <c:showPercent val="0"/>
              <c:showBubbleSize val="0"/>
            </c:dLbl>
            <c:dLbl>
              <c:idx val="1"/>
              <c:tx>
                <c:rich>
                  <a:bodyPr/>
                  <a:lstStyle/>
                  <a:p>
                    <a:pPr>
                      <a:defRPr sz="798" b="0" i="0" u="none" strike="noStrike" baseline="0">
                        <a:solidFill>
                          <a:srgbClr val="000000"/>
                        </a:solidFill>
                        <a:latin typeface="Arial"/>
                        <a:ea typeface="Arial"/>
                        <a:cs typeface="Arial"/>
                      </a:defRPr>
                    </a:pPr>
                    <a:r>
                      <a:rPr lang="cs-CZ"/>
                      <a:t>28</a:t>
                    </a:r>
                  </a:p>
                </c:rich>
              </c:tx>
              <c:spPr>
                <a:noFill/>
                <a:ln w="25369">
                  <a:noFill/>
                </a:ln>
              </c:spPr>
              <c:showLegendKey val="0"/>
              <c:showVal val="0"/>
              <c:showCatName val="0"/>
              <c:showSerName val="0"/>
              <c:showPercent val="0"/>
              <c:showBubbleSize val="0"/>
            </c:dLbl>
            <c:spPr>
              <a:noFill/>
              <a:ln w="25369">
                <a:noFill/>
              </a:ln>
            </c:spPr>
            <c:txPr>
              <a:bodyPr/>
              <a:lstStyle/>
              <a:p>
                <a:pPr>
                  <a:defRPr sz="799" b="0" i="0" u="none" strike="noStrike" baseline="0">
                    <a:solidFill>
                      <a:srgbClr val="000000"/>
                    </a:solidFill>
                    <a:latin typeface="Arial"/>
                    <a:ea typeface="Arial"/>
                    <a:cs typeface="Arial"/>
                  </a:defRPr>
                </a:pPr>
                <a:endParaRPr lang="cs-CZ"/>
              </a:p>
            </c:txPr>
            <c:showLegendKey val="0"/>
            <c:showVal val="1"/>
            <c:showCatName val="0"/>
            <c:showSerName val="0"/>
            <c:showPercent val="0"/>
            <c:showBubbleSize val="0"/>
            <c:showLeaderLines val="0"/>
          </c:dLbls>
          <c:cat>
            <c:numRef>
              <c:f>List1!$B$8:$F$8</c:f>
              <c:numCache>
                <c:formatCode>General</c:formatCode>
                <c:ptCount val="5"/>
                <c:pt idx="0">
                  <c:v>2010</c:v>
                </c:pt>
                <c:pt idx="1">
                  <c:v>2011</c:v>
                </c:pt>
                <c:pt idx="2">
                  <c:v>2012</c:v>
                </c:pt>
                <c:pt idx="3">
                  <c:v>2013</c:v>
                </c:pt>
                <c:pt idx="4">
                  <c:v>2014</c:v>
                </c:pt>
              </c:numCache>
            </c:numRef>
          </c:cat>
          <c:val>
            <c:numRef>
              <c:f>List1!$B$9:$F$9</c:f>
              <c:numCache>
                <c:formatCode>General</c:formatCode>
                <c:ptCount val="5"/>
                <c:pt idx="0">
                  <c:v>87</c:v>
                </c:pt>
                <c:pt idx="1">
                  <c:v>28</c:v>
                </c:pt>
                <c:pt idx="2">
                  <c:v>36</c:v>
                </c:pt>
                <c:pt idx="3">
                  <c:v>12</c:v>
                </c:pt>
                <c:pt idx="4">
                  <c:v>11</c:v>
                </c:pt>
              </c:numCache>
            </c:numRef>
          </c:val>
        </c:ser>
        <c:dLbls>
          <c:showLegendKey val="0"/>
          <c:showVal val="0"/>
          <c:showCatName val="0"/>
          <c:showSerName val="0"/>
          <c:showPercent val="0"/>
          <c:showBubbleSize val="0"/>
        </c:dLbls>
        <c:gapWidth val="150"/>
        <c:axId val="110948736"/>
        <c:axId val="110950656"/>
      </c:barChart>
      <c:dateAx>
        <c:axId val="110948736"/>
        <c:scaling>
          <c:orientation val="minMax"/>
        </c:scaling>
        <c:delete val="0"/>
        <c:axPos val="b"/>
        <c:title>
          <c:tx>
            <c:rich>
              <a:bodyPr/>
              <a:lstStyle/>
              <a:p>
                <a:pPr>
                  <a:defRPr sz="919" b="1" i="0" u="none" strike="noStrike" baseline="0">
                    <a:solidFill>
                      <a:srgbClr val="000000"/>
                    </a:solidFill>
                    <a:latin typeface="Arial"/>
                    <a:ea typeface="Arial"/>
                    <a:cs typeface="Arial"/>
                  </a:defRPr>
                </a:pPr>
                <a:r>
                  <a:t>rok</a:t>
                </a:r>
              </a:p>
            </c:rich>
          </c:tx>
          <c:layout>
            <c:manualLayout>
              <c:xMode val="edge"/>
              <c:yMode val="edge"/>
              <c:x val="0.51669951970289429"/>
              <c:y val="0.91501401915204283"/>
            </c:manualLayout>
          </c:layout>
          <c:overlay val="0"/>
          <c:spPr>
            <a:noFill/>
            <a:ln w="25369">
              <a:noFill/>
            </a:ln>
          </c:spPr>
        </c:title>
        <c:numFmt formatCode="@" sourceLinked="0"/>
        <c:majorTickMark val="out"/>
        <c:minorTickMark val="none"/>
        <c:tickLblPos val="nextTo"/>
        <c:spPr>
          <a:ln w="3166">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cs-CZ"/>
          </a:p>
        </c:txPr>
        <c:crossAx val="110950656"/>
        <c:crosses val="autoZero"/>
        <c:auto val="0"/>
        <c:lblOffset val="100"/>
        <c:baseTimeUnit val="days"/>
      </c:dateAx>
      <c:valAx>
        <c:axId val="110950656"/>
        <c:scaling>
          <c:orientation val="minMax"/>
        </c:scaling>
        <c:delete val="0"/>
        <c:axPos val="l"/>
        <c:majorGridlines>
          <c:spPr>
            <a:ln w="3166">
              <a:solidFill>
                <a:srgbClr val="000000"/>
              </a:solidFill>
              <a:prstDash val="solid"/>
            </a:ln>
          </c:spPr>
        </c:majorGridlines>
        <c:title>
          <c:tx>
            <c:rich>
              <a:bodyPr/>
              <a:lstStyle/>
              <a:p>
                <a:pPr>
                  <a:defRPr sz="919" b="1" i="0" u="none" strike="noStrike" baseline="0">
                    <a:solidFill>
                      <a:srgbClr val="000000"/>
                    </a:solidFill>
                    <a:latin typeface="Arial"/>
                    <a:ea typeface="Arial"/>
                    <a:cs typeface="Arial"/>
                  </a:defRPr>
                </a:pPr>
                <a:r>
                  <a:t>počet nesrovnalostí</a:t>
                </a:r>
              </a:p>
            </c:rich>
          </c:tx>
          <c:layout>
            <c:manualLayout>
              <c:xMode val="edge"/>
              <c:yMode val="edge"/>
              <c:x val="2.5540200332101342E-2"/>
              <c:y val="0.35410747717968705"/>
            </c:manualLayout>
          </c:layout>
          <c:overlay val="0"/>
          <c:spPr>
            <a:noFill/>
            <a:ln w="25369">
              <a:noFill/>
            </a:ln>
          </c:spPr>
        </c:title>
        <c:numFmt formatCode="General" sourceLinked="1"/>
        <c:majorTickMark val="out"/>
        <c:minorTickMark val="none"/>
        <c:tickLblPos val="nextTo"/>
        <c:spPr>
          <a:ln w="3166">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cs-CZ"/>
          </a:p>
        </c:txPr>
        <c:crossAx val="110948736"/>
        <c:crosses val="autoZero"/>
        <c:crossBetween val="between"/>
      </c:valAx>
      <c:spPr>
        <a:solidFill>
          <a:srgbClr val="C0C0C0"/>
        </a:solidFill>
        <a:ln w="12665">
          <a:solidFill>
            <a:srgbClr val="808080"/>
          </a:solidFill>
          <a:prstDash val="solid"/>
        </a:ln>
      </c:spPr>
    </c:plotArea>
    <c:plotVisOnly val="1"/>
    <c:dispBlanksAs val="gap"/>
    <c:showDLblsOverMax val="0"/>
  </c:chart>
  <c:spPr>
    <a:solidFill>
      <a:srgbClr val="FFFFFF"/>
    </a:solidFill>
    <a:ln w="3171">
      <a:solidFill>
        <a:srgbClr val="000000"/>
      </a:solidFill>
      <a:prstDash val="solid"/>
    </a:ln>
    <a:effectLst>
      <a:outerShdw dist="35921" dir="2700000" algn="br">
        <a:srgbClr val="000000"/>
      </a:outerShdw>
    </a:effectLst>
  </c:spPr>
  <c:txPr>
    <a:bodyPr/>
    <a:lstStyle/>
    <a:p>
      <a:pPr>
        <a:defRPr sz="549" b="0" i="0" u="none" strike="noStrike" baseline="0">
          <a:solidFill>
            <a:srgbClr val="000000"/>
          </a:solidFill>
          <a:latin typeface="Arial"/>
          <a:ea typeface="Arial"/>
          <a:cs typeface="Arial"/>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8" b="0" i="0" u="none" strike="noStrike" baseline="0">
                <a:solidFill>
                  <a:srgbClr val="000000"/>
                </a:solidFill>
                <a:latin typeface="Arial"/>
                <a:ea typeface="Arial"/>
                <a:cs typeface="Arial"/>
              </a:defRPr>
            </a:pPr>
            <a:r>
              <a:rPr lang="cs-CZ" sz="944" b="1" i="0" u="none" strike="noStrike" baseline="0">
                <a:solidFill>
                  <a:srgbClr val="000000"/>
                </a:solidFill>
                <a:latin typeface="Arial"/>
                <a:cs typeface="Arial"/>
              </a:rPr>
              <a:t>Celková částka dotčená nesrovnalostí u případů nově nahlášených úřadu OLAF za oblast SF a FS v roce 2014</a:t>
            </a:r>
          </a:p>
          <a:p>
            <a:pPr>
              <a:defRPr sz="798" b="0" i="0" u="none" strike="noStrike" baseline="0">
                <a:solidFill>
                  <a:srgbClr val="000000"/>
                </a:solidFill>
                <a:latin typeface="Arial"/>
                <a:ea typeface="Arial"/>
                <a:cs typeface="Arial"/>
              </a:defRPr>
            </a:pPr>
            <a:r>
              <a:rPr lang="cs-CZ" sz="944" b="0" i="1" u="none" strike="noStrike" baseline="0">
                <a:solidFill>
                  <a:srgbClr val="000000"/>
                </a:solidFill>
                <a:latin typeface="Arial"/>
                <a:cs typeface="Arial"/>
              </a:rPr>
              <a:t>(programové období 2004 - 2006)</a:t>
            </a:r>
          </a:p>
        </c:rich>
      </c:tx>
      <c:layout>
        <c:manualLayout>
          <c:xMode val="edge"/>
          <c:yMode val="edge"/>
          <c:x val="0.13320482666939359"/>
          <c:y val="3.6595076778193424E-2"/>
        </c:manualLayout>
      </c:layout>
      <c:overlay val="0"/>
      <c:spPr>
        <a:noFill/>
        <a:ln w="25382">
          <a:noFill/>
        </a:ln>
      </c:spPr>
    </c:title>
    <c:autoTitleDeleted val="0"/>
    <c:plotArea>
      <c:layout>
        <c:manualLayout>
          <c:layoutTarget val="inner"/>
          <c:xMode val="edge"/>
          <c:yMode val="edge"/>
          <c:x val="0.16775244299674266"/>
          <c:y val="0.32775919732441472"/>
          <c:w val="0.80944625407166126"/>
          <c:h val="0.50167224080267558"/>
        </c:manualLayout>
      </c:layout>
      <c:lineChart>
        <c:grouping val="standard"/>
        <c:varyColors val="0"/>
        <c:ser>
          <c:idx val="0"/>
          <c:order val="0"/>
          <c:tx>
            <c:strRef>
              <c:f>List1!$P$38:$T$38</c:f>
              <c:strCache>
                <c:ptCount val="1"/>
                <c:pt idx="0">
                  <c:v>42 423 6 669 4 997 1 725 14 424</c:v>
                </c:pt>
              </c:strCache>
            </c:strRef>
          </c:tx>
          <c:spPr>
            <a:ln w="25342">
              <a:solidFill>
                <a:srgbClr val="FF0000"/>
              </a:solidFill>
              <a:prstDash val="solid"/>
            </a:ln>
          </c:spPr>
          <c:marker>
            <c:symbol val="diamond"/>
            <c:size val="5"/>
            <c:spPr>
              <a:solidFill>
                <a:srgbClr val="FF0000"/>
              </a:solidFill>
              <a:ln>
                <a:solidFill>
                  <a:srgbClr val="FF0000"/>
                </a:solidFill>
                <a:prstDash val="solid"/>
              </a:ln>
            </c:spPr>
          </c:marker>
          <c:cat>
            <c:numRef>
              <c:f>List1!$P$37:$T$37</c:f>
              <c:numCache>
                <c:formatCode>General</c:formatCode>
                <c:ptCount val="5"/>
                <c:pt idx="0">
                  <c:v>2010</c:v>
                </c:pt>
                <c:pt idx="1">
                  <c:v>2011</c:v>
                </c:pt>
                <c:pt idx="2">
                  <c:v>2012</c:v>
                </c:pt>
                <c:pt idx="3">
                  <c:v>2013</c:v>
                </c:pt>
                <c:pt idx="4">
                  <c:v>2014</c:v>
                </c:pt>
              </c:numCache>
            </c:numRef>
          </c:cat>
          <c:val>
            <c:numRef>
              <c:f>List1!$P$38:$T$38</c:f>
              <c:numCache>
                <c:formatCode>#,##0</c:formatCode>
                <c:ptCount val="5"/>
                <c:pt idx="0">
                  <c:v>42423</c:v>
                </c:pt>
                <c:pt idx="1">
                  <c:v>6669</c:v>
                </c:pt>
                <c:pt idx="2">
                  <c:v>4997</c:v>
                </c:pt>
                <c:pt idx="3">
                  <c:v>1725</c:v>
                </c:pt>
                <c:pt idx="4">
                  <c:v>14424</c:v>
                </c:pt>
              </c:numCache>
            </c:numRef>
          </c:val>
          <c:smooth val="0"/>
        </c:ser>
        <c:dLbls>
          <c:showLegendKey val="0"/>
          <c:showVal val="0"/>
          <c:showCatName val="0"/>
          <c:showSerName val="0"/>
          <c:showPercent val="0"/>
          <c:showBubbleSize val="0"/>
        </c:dLbls>
        <c:marker val="1"/>
        <c:smooth val="0"/>
        <c:axId val="106283776"/>
        <c:axId val="106286080"/>
      </c:lineChart>
      <c:catAx>
        <c:axId val="106283776"/>
        <c:scaling>
          <c:orientation val="minMax"/>
        </c:scaling>
        <c:delete val="0"/>
        <c:axPos val="b"/>
        <c:title>
          <c:tx>
            <c:rich>
              <a:bodyPr/>
              <a:lstStyle/>
              <a:p>
                <a:pPr>
                  <a:defRPr sz="919" b="1" i="0" u="none" strike="noStrike" baseline="0">
                    <a:solidFill>
                      <a:srgbClr val="000000"/>
                    </a:solidFill>
                    <a:latin typeface="Arial"/>
                    <a:ea typeface="Arial"/>
                    <a:cs typeface="Arial"/>
                  </a:defRPr>
                </a:pPr>
                <a:r>
                  <a:t>rok</a:t>
                </a:r>
              </a:p>
            </c:rich>
          </c:tx>
          <c:layout>
            <c:manualLayout>
              <c:xMode val="edge"/>
              <c:yMode val="edge"/>
              <c:x val="0.54775931417663704"/>
              <c:y val="0.90056940556848997"/>
            </c:manualLayout>
          </c:layout>
          <c:overlay val="0"/>
          <c:spPr>
            <a:noFill/>
            <a:ln w="25382">
              <a:noFill/>
            </a:ln>
          </c:spPr>
        </c:title>
        <c:numFmt formatCode="General" sourceLinked="1"/>
        <c:majorTickMark val="out"/>
        <c:minorTickMark val="none"/>
        <c:tickLblPos val="nextTo"/>
        <c:spPr>
          <a:ln w="3168">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cs-CZ"/>
          </a:p>
        </c:txPr>
        <c:crossAx val="106286080"/>
        <c:crosses val="autoZero"/>
        <c:auto val="1"/>
        <c:lblAlgn val="ctr"/>
        <c:lblOffset val="100"/>
        <c:tickLblSkip val="1"/>
        <c:tickMarkSkip val="1"/>
        <c:noMultiLvlLbl val="0"/>
      </c:catAx>
      <c:valAx>
        <c:axId val="106286080"/>
        <c:scaling>
          <c:orientation val="minMax"/>
        </c:scaling>
        <c:delete val="0"/>
        <c:axPos val="l"/>
        <c:majorGridlines>
          <c:spPr>
            <a:ln w="3168">
              <a:solidFill>
                <a:srgbClr val="000000"/>
              </a:solidFill>
              <a:prstDash val="solid"/>
            </a:ln>
          </c:spPr>
        </c:majorGridlines>
        <c:title>
          <c:tx>
            <c:rich>
              <a:bodyPr/>
              <a:lstStyle/>
              <a:p>
                <a:pPr>
                  <a:defRPr sz="919" b="1" i="0" u="none" strike="noStrike" baseline="0">
                    <a:solidFill>
                      <a:srgbClr val="000000"/>
                    </a:solidFill>
                    <a:latin typeface="Arial"/>
                    <a:ea typeface="Arial"/>
                    <a:cs typeface="Arial"/>
                  </a:defRPr>
                </a:pPr>
                <a:r>
                  <a:t>v tis. €</a:t>
                </a:r>
              </a:p>
            </c:rich>
          </c:tx>
          <c:layout>
            <c:manualLayout>
              <c:xMode val="edge"/>
              <c:yMode val="edge"/>
              <c:x val="2.7290452329822409E-2"/>
              <c:y val="0.51420514296178099"/>
            </c:manualLayout>
          </c:layout>
          <c:overlay val="0"/>
          <c:spPr>
            <a:noFill/>
            <a:ln w="25382">
              <a:noFill/>
            </a:ln>
          </c:spPr>
        </c:title>
        <c:numFmt formatCode="#,##0" sourceLinked="1"/>
        <c:majorTickMark val="out"/>
        <c:minorTickMark val="none"/>
        <c:tickLblPos val="nextTo"/>
        <c:spPr>
          <a:ln w="3168">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cs-CZ"/>
          </a:p>
        </c:txPr>
        <c:crossAx val="106283776"/>
        <c:crosses val="autoZero"/>
        <c:crossBetween val="between"/>
      </c:valAx>
      <c:spPr>
        <a:solidFill>
          <a:srgbClr val="C0C0C0"/>
        </a:solidFill>
        <a:ln w="12671">
          <a:solidFill>
            <a:srgbClr val="808080"/>
          </a:solidFill>
          <a:prstDash val="solid"/>
        </a:ln>
      </c:spPr>
    </c:plotArea>
    <c:plotVisOnly val="1"/>
    <c:dispBlanksAs val="gap"/>
    <c:showDLblsOverMax val="0"/>
  </c:chart>
  <c:spPr>
    <a:solidFill>
      <a:srgbClr val="FFFFFF"/>
    </a:solidFill>
    <a:ln w="3173">
      <a:solidFill>
        <a:srgbClr val="000000"/>
      </a:solidFill>
      <a:prstDash val="solid"/>
    </a:ln>
    <a:effectLst>
      <a:outerShdw dist="35921" dir="2700000" algn="br">
        <a:srgbClr val="000000"/>
      </a:outerShdw>
    </a:effectLst>
  </c:spPr>
  <c:txPr>
    <a:bodyPr/>
    <a:lstStyle/>
    <a:p>
      <a:pPr>
        <a:defRPr sz="799" b="0" i="0" u="none" strike="noStrike" baseline="0">
          <a:solidFill>
            <a:srgbClr val="000000"/>
          </a:solidFill>
          <a:latin typeface="Arial"/>
          <a:ea typeface="Arial"/>
          <a:cs typeface="Arial"/>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6" b="0" i="0" u="none" strike="noStrike" baseline="0">
                <a:solidFill>
                  <a:srgbClr val="000000"/>
                </a:solidFill>
                <a:latin typeface="Arial"/>
                <a:ea typeface="Arial"/>
                <a:cs typeface="Arial"/>
              </a:defRPr>
            </a:pPr>
            <a:r>
              <a:rPr lang="cs-CZ" sz="918" b="1" i="0" u="none" strike="noStrike" baseline="0">
                <a:solidFill>
                  <a:srgbClr val="000000"/>
                </a:solidFill>
                <a:latin typeface="Arial"/>
                <a:cs typeface="Arial"/>
              </a:rPr>
              <a:t>Nové nesrovnalosti nahlášené úřadu OLAF za oblast SF, FS a ERF v roce 2014 </a:t>
            </a:r>
          </a:p>
          <a:p>
            <a:pPr>
              <a:defRPr sz="796" b="0" i="0" u="none" strike="noStrike" baseline="0">
                <a:solidFill>
                  <a:srgbClr val="000000"/>
                </a:solidFill>
                <a:latin typeface="Arial"/>
                <a:ea typeface="Arial"/>
                <a:cs typeface="Arial"/>
              </a:defRPr>
            </a:pPr>
            <a:r>
              <a:rPr lang="cs-CZ" sz="918" b="0" i="1" u="none" strike="noStrike" baseline="0">
                <a:solidFill>
                  <a:srgbClr val="000000"/>
                </a:solidFill>
                <a:latin typeface="Arial"/>
                <a:cs typeface="Arial"/>
              </a:rPr>
              <a:t>(programové období 2007 - 2013)</a:t>
            </a:r>
          </a:p>
        </c:rich>
      </c:tx>
      <c:layout>
        <c:manualLayout>
          <c:xMode val="edge"/>
          <c:yMode val="edge"/>
          <c:x val="0.16766487654861903"/>
          <c:y val="5.7636946325105583E-2"/>
        </c:manualLayout>
      </c:layout>
      <c:overlay val="0"/>
      <c:spPr>
        <a:noFill/>
        <a:ln w="25347">
          <a:noFill/>
        </a:ln>
      </c:spPr>
    </c:title>
    <c:autoTitleDeleted val="0"/>
    <c:plotArea>
      <c:layout>
        <c:manualLayout>
          <c:layoutTarget val="inner"/>
          <c:xMode val="edge"/>
          <c:yMode val="edge"/>
          <c:x val="0.12918660287081341"/>
          <c:y val="0.22493224932249323"/>
          <c:w val="0.84688995215311003"/>
          <c:h val="0.59891598915989164"/>
        </c:manualLayout>
      </c:layout>
      <c:barChart>
        <c:barDir val="col"/>
        <c:grouping val="clustered"/>
        <c:varyColors val="0"/>
        <c:ser>
          <c:idx val="0"/>
          <c:order val="0"/>
          <c:tx>
            <c:strRef>
              <c:f>List1!$E$10:$I$10</c:f>
              <c:strCache>
                <c:ptCount val="1"/>
                <c:pt idx="0">
                  <c:v>122 255 650 1104 1063</c:v>
                </c:pt>
              </c:strCache>
            </c:strRef>
          </c:tx>
          <c:spPr>
            <a:solidFill>
              <a:srgbClr val="008000"/>
            </a:solidFill>
            <a:ln w="12634">
              <a:solidFill>
                <a:srgbClr val="000000"/>
              </a:solidFill>
              <a:prstDash val="solid"/>
            </a:ln>
          </c:spPr>
          <c:invertIfNegative val="0"/>
          <c:dLbls>
            <c:spPr>
              <a:noFill/>
              <a:ln w="25347">
                <a:noFill/>
              </a:ln>
            </c:spPr>
            <c:txPr>
              <a:bodyPr/>
              <a:lstStyle/>
              <a:p>
                <a:pPr>
                  <a:defRPr sz="798" b="0" i="0" u="none" strike="noStrike" baseline="0">
                    <a:solidFill>
                      <a:srgbClr val="000000"/>
                    </a:solidFill>
                    <a:latin typeface="Arial"/>
                    <a:ea typeface="Arial"/>
                    <a:cs typeface="Arial"/>
                  </a:defRPr>
                </a:pPr>
                <a:endParaRPr lang="cs-CZ"/>
              </a:p>
            </c:txPr>
            <c:showLegendKey val="0"/>
            <c:showVal val="1"/>
            <c:showCatName val="0"/>
            <c:showSerName val="0"/>
            <c:showPercent val="0"/>
            <c:showBubbleSize val="0"/>
            <c:showLeaderLines val="0"/>
          </c:dLbls>
          <c:cat>
            <c:numRef>
              <c:f>List1!$E$9:$I$9</c:f>
              <c:numCache>
                <c:formatCode>General</c:formatCode>
                <c:ptCount val="5"/>
                <c:pt idx="0">
                  <c:v>2010</c:v>
                </c:pt>
                <c:pt idx="1">
                  <c:v>2011</c:v>
                </c:pt>
                <c:pt idx="2">
                  <c:v>2012</c:v>
                </c:pt>
                <c:pt idx="3">
                  <c:v>2013</c:v>
                </c:pt>
                <c:pt idx="4">
                  <c:v>2014</c:v>
                </c:pt>
              </c:numCache>
            </c:numRef>
          </c:cat>
          <c:val>
            <c:numRef>
              <c:f>List1!$E$10:$I$10</c:f>
              <c:numCache>
                <c:formatCode>General</c:formatCode>
                <c:ptCount val="5"/>
                <c:pt idx="0">
                  <c:v>122</c:v>
                </c:pt>
                <c:pt idx="1">
                  <c:v>255</c:v>
                </c:pt>
                <c:pt idx="2">
                  <c:v>650</c:v>
                </c:pt>
                <c:pt idx="3">
                  <c:v>1104</c:v>
                </c:pt>
                <c:pt idx="4">
                  <c:v>1063</c:v>
                </c:pt>
              </c:numCache>
            </c:numRef>
          </c:val>
        </c:ser>
        <c:dLbls>
          <c:showLegendKey val="0"/>
          <c:showVal val="0"/>
          <c:showCatName val="0"/>
          <c:showSerName val="0"/>
          <c:showPercent val="0"/>
          <c:showBubbleSize val="0"/>
        </c:dLbls>
        <c:gapWidth val="150"/>
        <c:axId val="105806848"/>
        <c:axId val="106243200"/>
      </c:barChart>
      <c:catAx>
        <c:axId val="105806848"/>
        <c:scaling>
          <c:orientation val="minMax"/>
        </c:scaling>
        <c:delete val="0"/>
        <c:axPos val="b"/>
        <c:title>
          <c:tx>
            <c:rich>
              <a:bodyPr/>
              <a:lstStyle/>
              <a:p>
                <a:pPr>
                  <a:defRPr sz="918" b="1" i="0" u="none" strike="noStrike" baseline="0">
                    <a:solidFill>
                      <a:srgbClr val="000000"/>
                    </a:solidFill>
                    <a:latin typeface="Arial"/>
                    <a:ea typeface="Arial"/>
                    <a:cs typeface="Arial"/>
                  </a:defRPr>
                </a:pPr>
                <a:r>
                  <a:t>rok</a:t>
                </a:r>
              </a:p>
            </c:rich>
          </c:tx>
          <c:layout>
            <c:manualLayout>
              <c:xMode val="edge"/>
              <c:yMode val="edge"/>
              <c:x val="0.52694732713259806"/>
              <c:y val="0.89913562691456028"/>
            </c:manualLayout>
          </c:layout>
          <c:overlay val="0"/>
          <c:spPr>
            <a:noFill/>
            <a:ln w="25347">
              <a:noFill/>
            </a:ln>
          </c:spPr>
        </c:title>
        <c:numFmt formatCode="General" sourceLinked="1"/>
        <c:majorTickMark val="out"/>
        <c:minorTickMark val="none"/>
        <c:tickLblPos val="nextTo"/>
        <c:spPr>
          <a:ln w="315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cs-CZ"/>
          </a:p>
        </c:txPr>
        <c:crossAx val="106243200"/>
        <c:crosses val="autoZero"/>
        <c:auto val="1"/>
        <c:lblAlgn val="ctr"/>
        <c:lblOffset val="100"/>
        <c:tickLblSkip val="1"/>
        <c:tickMarkSkip val="1"/>
        <c:noMultiLvlLbl val="0"/>
      </c:catAx>
      <c:valAx>
        <c:axId val="106243200"/>
        <c:scaling>
          <c:orientation val="minMax"/>
        </c:scaling>
        <c:delete val="0"/>
        <c:axPos val="l"/>
        <c:majorGridlines>
          <c:spPr>
            <a:ln w="3158">
              <a:solidFill>
                <a:srgbClr val="000000"/>
              </a:solidFill>
              <a:prstDash val="solid"/>
            </a:ln>
          </c:spPr>
        </c:majorGridlines>
        <c:title>
          <c:tx>
            <c:rich>
              <a:bodyPr/>
              <a:lstStyle/>
              <a:p>
                <a:pPr>
                  <a:defRPr sz="918" b="1" i="0" u="none" strike="noStrike" baseline="0">
                    <a:solidFill>
                      <a:srgbClr val="000000"/>
                    </a:solidFill>
                    <a:latin typeface="Arial"/>
                    <a:ea typeface="Arial"/>
                    <a:cs typeface="Arial"/>
                  </a:defRPr>
                </a:pPr>
                <a:r>
                  <a:t>počet nesrovnalostí</a:t>
                </a:r>
              </a:p>
            </c:rich>
          </c:tx>
          <c:layout>
            <c:manualLayout>
              <c:xMode val="edge"/>
              <c:yMode val="edge"/>
              <c:x val="2.7944201728361061E-2"/>
              <c:y val="0.35446682372250643"/>
            </c:manualLayout>
          </c:layout>
          <c:overlay val="0"/>
          <c:spPr>
            <a:noFill/>
            <a:ln w="25347">
              <a:noFill/>
            </a:ln>
          </c:spPr>
        </c:title>
        <c:numFmt formatCode="General" sourceLinked="1"/>
        <c:majorTickMark val="out"/>
        <c:minorTickMark val="none"/>
        <c:tickLblPos val="nextTo"/>
        <c:spPr>
          <a:ln w="315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cs-CZ"/>
          </a:p>
        </c:txPr>
        <c:crossAx val="105806848"/>
        <c:crosses val="autoZero"/>
        <c:crossBetween val="between"/>
      </c:valAx>
      <c:spPr>
        <a:solidFill>
          <a:srgbClr val="C0C0C0"/>
        </a:solidFill>
        <a:ln w="12634">
          <a:solidFill>
            <a:srgbClr val="808080"/>
          </a:solidFill>
          <a:prstDash val="solid"/>
        </a:ln>
      </c:spPr>
    </c:plotArea>
    <c:plotVisOnly val="1"/>
    <c:dispBlanksAs val="gap"/>
    <c:showDLblsOverMax val="0"/>
  </c:chart>
  <c:spPr>
    <a:solidFill>
      <a:srgbClr val="FFFFFF"/>
    </a:solidFill>
    <a:ln w="3168">
      <a:solidFill>
        <a:srgbClr val="000000"/>
      </a:solidFill>
      <a:prstDash val="solid"/>
    </a:ln>
    <a:effectLst>
      <a:outerShdw dist="35921" dir="2700000" algn="br">
        <a:srgbClr val="000000"/>
      </a:outerShdw>
    </a:effectLst>
  </c:spPr>
  <c:txPr>
    <a:bodyPr/>
    <a:lstStyle/>
    <a:p>
      <a:pPr>
        <a:defRPr sz="798" b="0" i="0" u="none" strike="noStrike" baseline="0">
          <a:solidFill>
            <a:srgbClr val="000000"/>
          </a:solidFill>
          <a:latin typeface="Arial"/>
          <a:ea typeface="Arial"/>
          <a:cs typeface="Arial"/>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8" b="0" i="0" u="none" strike="noStrike" baseline="0">
                <a:solidFill>
                  <a:srgbClr val="000000"/>
                </a:solidFill>
                <a:latin typeface="Arial"/>
                <a:ea typeface="Arial"/>
                <a:cs typeface="Arial"/>
              </a:defRPr>
            </a:pPr>
            <a:r>
              <a:rPr lang="cs-CZ" sz="944" b="1" i="0" u="none" strike="noStrike" baseline="0">
                <a:solidFill>
                  <a:srgbClr val="000000"/>
                </a:solidFill>
                <a:latin typeface="Arial"/>
                <a:cs typeface="Arial"/>
              </a:rPr>
              <a:t>Celková částka dotčená nesrovnalostí u případů nově nahlášených úřadu OLAF za oblast SF, FS a ERF v roce 2014</a:t>
            </a:r>
          </a:p>
          <a:p>
            <a:pPr>
              <a:defRPr sz="798" b="0" i="0" u="none" strike="noStrike" baseline="0">
                <a:solidFill>
                  <a:srgbClr val="000000"/>
                </a:solidFill>
                <a:latin typeface="Arial"/>
                <a:ea typeface="Arial"/>
                <a:cs typeface="Arial"/>
              </a:defRPr>
            </a:pPr>
            <a:r>
              <a:rPr lang="cs-CZ" sz="944" b="0" i="1" u="none" strike="noStrike" baseline="0">
                <a:solidFill>
                  <a:srgbClr val="000000"/>
                </a:solidFill>
                <a:latin typeface="Arial"/>
                <a:cs typeface="Arial"/>
              </a:rPr>
              <a:t>(programové období 2007 - 2013)</a:t>
            </a:r>
          </a:p>
        </c:rich>
      </c:tx>
      <c:layout>
        <c:manualLayout>
          <c:xMode val="edge"/>
          <c:yMode val="edge"/>
          <c:x val="0.16764168995004655"/>
          <c:y val="3.3132536754583997E-2"/>
        </c:manualLayout>
      </c:layout>
      <c:overlay val="0"/>
      <c:spPr>
        <a:noFill/>
        <a:ln w="25366">
          <a:noFill/>
        </a:ln>
      </c:spPr>
    </c:title>
    <c:autoTitleDeleted val="0"/>
    <c:plotArea>
      <c:layout>
        <c:manualLayout>
          <c:layoutTarget val="inner"/>
          <c:xMode val="edge"/>
          <c:yMode val="edge"/>
          <c:x val="0.17152103559870549"/>
          <c:y val="0.34507042253521125"/>
          <c:w val="0.80420711974110037"/>
          <c:h val="0.46830985915492956"/>
        </c:manualLayout>
      </c:layout>
      <c:lineChart>
        <c:grouping val="standard"/>
        <c:varyColors val="0"/>
        <c:ser>
          <c:idx val="0"/>
          <c:order val="0"/>
          <c:tx>
            <c:strRef>
              <c:f>List1!$E$38:$I$38</c:f>
              <c:strCache>
                <c:ptCount val="1"/>
                <c:pt idx="0">
                  <c:v>2010 2011 2012 2013 2014</c:v>
                </c:pt>
              </c:strCache>
            </c:strRef>
          </c:tx>
          <c:spPr>
            <a:ln w="25348">
              <a:solidFill>
                <a:srgbClr val="008000"/>
              </a:solidFill>
              <a:prstDash val="solid"/>
            </a:ln>
          </c:spPr>
          <c:marker>
            <c:symbol val="diamond"/>
            <c:size val="5"/>
            <c:spPr>
              <a:solidFill>
                <a:srgbClr val="008000"/>
              </a:solidFill>
              <a:ln>
                <a:solidFill>
                  <a:srgbClr val="008000"/>
                </a:solidFill>
                <a:prstDash val="solid"/>
              </a:ln>
            </c:spPr>
          </c:marker>
          <c:cat>
            <c:numRef>
              <c:f>List1!$E$38:$I$38</c:f>
              <c:numCache>
                <c:formatCode>General</c:formatCode>
                <c:ptCount val="5"/>
                <c:pt idx="0">
                  <c:v>2010</c:v>
                </c:pt>
                <c:pt idx="1">
                  <c:v>2011</c:v>
                </c:pt>
                <c:pt idx="2">
                  <c:v>2012</c:v>
                </c:pt>
                <c:pt idx="3">
                  <c:v>2013</c:v>
                </c:pt>
                <c:pt idx="4">
                  <c:v>2014</c:v>
                </c:pt>
              </c:numCache>
            </c:numRef>
          </c:cat>
          <c:val>
            <c:numRef>
              <c:f>List1!$E$39:$I$39</c:f>
              <c:numCache>
                <c:formatCode>#,##0</c:formatCode>
                <c:ptCount val="5"/>
                <c:pt idx="0">
                  <c:v>298835</c:v>
                </c:pt>
                <c:pt idx="1">
                  <c:v>184672</c:v>
                </c:pt>
                <c:pt idx="2">
                  <c:v>1084695</c:v>
                </c:pt>
                <c:pt idx="3">
                  <c:v>370501</c:v>
                </c:pt>
                <c:pt idx="4">
                  <c:v>315772</c:v>
                </c:pt>
              </c:numCache>
            </c:numRef>
          </c:val>
          <c:smooth val="0"/>
        </c:ser>
        <c:dLbls>
          <c:showLegendKey val="0"/>
          <c:showVal val="0"/>
          <c:showCatName val="0"/>
          <c:showSerName val="0"/>
          <c:showPercent val="0"/>
          <c:showBubbleSize val="0"/>
        </c:dLbls>
        <c:marker val="1"/>
        <c:smooth val="0"/>
        <c:axId val="105720064"/>
        <c:axId val="105734912"/>
      </c:lineChart>
      <c:catAx>
        <c:axId val="105720064"/>
        <c:scaling>
          <c:orientation val="minMax"/>
        </c:scaling>
        <c:delete val="0"/>
        <c:axPos val="b"/>
        <c:title>
          <c:tx>
            <c:rich>
              <a:bodyPr/>
              <a:lstStyle/>
              <a:p>
                <a:pPr>
                  <a:defRPr sz="919" b="1" i="0" u="none" strike="noStrike" baseline="0">
                    <a:solidFill>
                      <a:srgbClr val="000000"/>
                    </a:solidFill>
                    <a:latin typeface="Arial"/>
                    <a:ea typeface="Arial"/>
                    <a:cs typeface="Arial"/>
                  </a:defRPr>
                </a:pPr>
                <a:r>
                  <a:t>rok</a:t>
                </a:r>
              </a:p>
            </c:rich>
          </c:tx>
          <c:layout>
            <c:manualLayout>
              <c:xMode val="edge"/>
              <c:yMode val="edge"/>
              <c:x val="0.54970857675048679"/>
              <c:y val="0.88855422792430661"/>
            </c:manualLayout>
          </c:layout>
          <c:overlay val="0"/>
          <c:spPr>
            <a:noFill/>
            <a:ln w="25366">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cs-CZ"/>
          </a:p>
        </c:txPr>
        <c:crossAx val="105734912"/>
        <c:crosses val="autoZero"/>
        <c:auto val="1"/>
        <c:lblAlgn val="ctr"/>
        <c:lblOffset val="100"/>
        <c:tickLblSkip val="1"/>
        <c:tickMarkSkip val="1"/>
        <c:noMultiLvlLbl val="0"/>
      </c:catAx>
      <c:valAx>
        <c:axId val="105734912"/>
        <c:scaling>
          <c:orientation val="minMax"/>
        </c:scaling>
        <c:delete val="0"/>
        <c:axPos val="l"/>
        <c:majorGridlines>
          <c:spPr>
            <a:ln w="3169">
              <a:solidFill>
                <a:srgbClr val="000000"/>
              </a:solidFill>
              <a:prstDash val="solid"/>
            </a:ln>
          </c:spPr>
        </c:majorGridlines>
        <c:title>
          <c:tx>
            <c:rich>
              <a:bodyPr/>
              <a:lstStyle/>
              <a:p>
                <a:pPr>
                  <a:defRPr sz="919" b="1" i="0" u="none" strike="noStrike" baseline="0">
                    <a:solidFill>
                      <a:srgbClr val="000000"/>
                    </a:solidFill>
                    <a:latin typeface="Arial"/>
                    <a:ea typeface="Arial"/>
                    <a:cs typeface="Arial"/>
                  </a:defRPr>
                </a:pPr>
                <a:r>
                  <a:t>v tis. €</a:t>
                </a:r>
              </a:p>
            </c:rich>
          </c:tx>
          <c:layout>
            <c:manualLayout>
              <c:xMode val="edge"/>
              <c:yMode val="edge"/>
              <c:x val="3.1189061044788753E-2"/>
              <c:y val="0.51204816181194135"/>
            </c:manualLayout>
          </c:layout>
          <c:overlay val="0"/>
          <c:spPr>
            <a:noFill/>
            <a:ln w="25366">
              <a:noFill/>
            </a:ln>
          </c:spPr>
        </c:title>
        <c:numFmt formatCode="#,##0"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cs-CZ"/>
          </a:p>
        </c:txPr>
        <c:crossAx val="105720064"/>
        <c:crosses val="autoZero"/>
        <c:crossBetween val="between"/>
      </c:valAx>
      <c:spPr>
        <a:solidFill>
          <a:srgbClr val="C0C0C0"/>
        </a:solidFill>
        <a:ln w="12674">
          <a:solidFill>
            <a:srgbClr val="808080"/>
          </a:solidFill>
          <a:prstDash val="solid"/>
        </a:ln>
      </c:spPr>
    </c:plotArea>
    <c:plotVisOnly val="1"/>
    <c:dispBlanksAs val="gap"/>
    <c:showDLblsOverMax val="0"/>
  </c:chart>
  <c:spPr>
    <a:solidFill>
      <a:srgbClr val="FFFFFF"/>
    </a:solidFill>
    <a:ln w="3171">
      <a:solidFill>
        <a:srgbClr val="000000"/>
      </a:solidFill>
      <a:prstDash val="solid"/>
    </a:ln>
    <a:effectLst>
      <a:outerShdw dist="35921" dir="2700000" algn="br">
        <a:srgbClr val="000000"/>
      </a:outerShdw>
    </a:effectLst>
  </c:spPr>
  <c:txPr>
    <a:bodyPr/>
    <a:lstStyle/>
    <a:p>
      <a:pPr>
        <a:defRPr sz="799" b="0" i="0" u="none" strike="noStrike" baseline="0">
          <a:solidFill>
            <a:srgbClr val="000000"/>
          </a:solidFill>
          <a:latin typeface="Arial"/>
          <a:ea typeface="Arial"/>
          <a:cs typeface="Arial"/>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roundedCorners val="1"/>
  <c:style val="2"/>
  <c:clrMapOvr bg1="lt1" tx1="dk1" bg2="lt2" tx2="dk2" accent1="accent1" accent2="accent2" accent3="accent3" accent4="accent4" accent5="accent5" accent6="accent6" hlink="hlink" folHlink="folHlink"/>
  <c:chart>
    <c:title>
      <c:tx>
        <c:rich>
          <a:bodyPr/>
          <a:lstStyle/>
          <a:p>
            <a:pPr>
              <a:defRPr sz="1400"/>
            </a:pPr>
            <a:r>
              <a:rPr lang="cs-CZ" sz="1400"/>
              <a:t>Přehled provedených auditů operací za operační programy ESF </a:t>
            </a:r>
            <a:br>
              <a:rPr lang="cs-CZ" sz="1400"/>
            </a:br>
            <a:r>
              <a:rPr lang="cs-CZ" sz="1400"/>
              <a:t>za rok 2014 ve srovnání s přechozími roky</a:t>
            </a:r>
          </a:p>
        </c:rich>
      </c:tx>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List1!$B$2</c:f>
              <c:strCache>
                <c:ptCount val="1"/>
                <c:pt idx="0">
                  <c:v>435</c:v>
                </c:pt>
              </c:strCache>
            </c:strRef>
          </c:tx>
          <c:invertIfNegative val="1"/>
          <c:dLbls>
            <c:showLegendKey val="1"/>
            <c:showVal val="1"/>
            <c:showCatName val="1"/>
            <c:showSerName val="1"/>
            <c:showPercent val="1"/>
            <c:showBubbleSize val="1"/>
            <c:showLeaderLines val="0"/>
          </c:dLbls>
          <c:cat>
            <c:numRef>
              <c:f>List1!$A$3:$A$5</c:f>
              <c:numCache>
                <c:formatCode>General</c:formatCode>
                <c:ptCount val="3"/>
                <c:pt idx="0">
                  <c:v>2011</c:v>
                </c:pt>
                <c:pt idx="1">
                  <c:v>2012</c:v>
                </c:pt>
                <c:pt idx="2">
                  <c:v>2013</c:v>
                </c:pt>
              </c:numCache>
            </c:numRef>
          </c:cat>
          <c:val>
            <c:numRef>
              <c:f>List1!$B$3:$B$5</c:f>
              <c:numCache>
                <c:formatCode>General</c:formatCode>
                <c:ptCount val="3"/>
                <c:pt idx="0">
                  <c:v>443</c:v>
                </c:pt>
                <c:pt idx="1">
                  <c:v>809</c:v>
                </c:pt>
                <c:pt idx="2">
                  <c:v>822</c:v>
                </c:pt>
              </c:numCache>
            </c:numRef>
          </c:val>
        </c:ser>
        <c:ser>
          <c:idx val="1"/>
          <c:order val="1"/>
          <c:tx>
            <c:strRef>
              <c:f>List1!$C$2</c:f>
              <c:strCache>
                <c:ptCount val="1"/>
                <c:pt idx="0">
                  <c:v>23 049 295</c:v>
                </c:pt>
              </c:strCache>
            </c:strRef>
          </c:tx>
          <c:invertIfNegative val="1"/>
          <c:dLbls>
            <c:showLegendKey val="1"/>
            <c:showVal val="1"/>
            <c:showCatName val="1"/>
            <c:showSerName val="1"/>
            <c:showPercent val="1"/>
            <c:showBubbleSize val="1"/>
            <c:showLeaderLines val="0"/>
          </c:dLbls>
          <c:cat>
            <c:numRef>
              <c:f>List1!$A$3:$A$5</c:f>
              <c:numCache>
                <c:formatCode>General</c:formatCode>
                <c:ptCount val="3"/>
                <c:pt idx="0">
                  <c:v>2011</c:v>
                </c:pt>
                <c:pt idx="1">
                  <c:v>2012</c:v>
                </c:pt>
                <c:pt idx="2">
                  <c:v>2013</c:v>
                </c:pt>
              </c:numCache>
            </c:numRef>
          </c:cat>
          <c:val>
            <c:numRef>
              <c:f>List1!$C$3:$C$5</c:f>
              <c:numCache>
                <c:formatCode>General</c:formatCode>
                <c:ptCount val="3"/>
                <c:pt idx="0">
                  <c:v>0</c:v>
                </c:pt>
                <c:pt idx="1">
                  <c:v>0</c:v>
                </c:pt>
                <c:pt idx="2">
                  <c:v>0</c:v>
                </c:pt>
              </c:numCache>
            </c:numRef>
          </c:val>
        </c:ser>
        <c:ser>
          <c:idx val="2"/>
          <c:order val="2"/>
          <c:tx>
            <c:strRef>
              <c:f>List1!$D$2</c:f>
              <c:strCache>
                <c:ptCount val="1"/>
              </c:strCache>
            </c:strRef>
          </c:tx>
          <c:invertIfNegative val="1"/>
          <c:dLbls>
            <c:showLegendKey val="1"/>
            <c:showVal val="1"/>
            <c:showCatName val="1"/>
            <c:showSerName val="1"/>
            <c:showPercent val="1"/>
            <c:showBubbleSize val="1"/>
            <c:showLeaderLines val="0"/>
          </c:dLbls>
          <c:cat>
            <c:numRef>
              <c:f>List1!$A$3:$A$5</c:f>
              <c:numCache>
                <c:formatCode>General</c:formatCode>
                <c:ptCount val="3"/>
                <c:pt idx="0">
                  <c:v>2011</c:v>
                </c:pt>
                <c:pt idx="1">
                  <c:v>2012</c:v>
                </c:pt>
                <c:pt idx="2">
                  <c:v>2013</c:v>
                </c:pt>
              </c:numCache>
            </c:numRef>
          </c:cat>
          <c:val>
            <c:numRef>
              <c:f>List1!$D$3:$D$5</c:f>
              <c:numCache>
                <c:formatCode>General</c:formatCode>
                <c:ptCount val="3"/>
              </c:numCache>
            </c:numRef>
          </c:val>
        </c:ser>
        <c:dLbls>
          <c:showLegendKey val="0"/>
          <c:showVal val="0"/>
          <c:showCatName val="0"/>
          <c:showSerName val="0"/>
          <c:showPercent val="0"/>
          <c:showBubbleSize val="0"/>
        </c:dLbls>
        <c:gapWidth val="150"/>
        <c:shape val="box"/>
        <c:axId val="46239104"/>
        <c:axId val="50947200"/>
        <c:axId val="0"/>
      </c:bar3DChart>
      <c:catAx>
        <c:axId val="46239104"/>
        <c:scaling>
          <c:orientation val="minMax"/>
        </c:scaling>
        <c:delete val="1"/>
        <c:axPos val="b"/>
        <c:numFmt formatCode="General" sourceLinked="1"/>
        <c:majorTickMark val="cross"/>
        <c:minorTickMark val="cross"/>
        <c:tickLblPos val="nextTo"/>
        <c:crossAx val="50947200"/>
        <c:crosses val="autoZero"/>
        <c:auto val="1"/>
        <c:lblAlgn val="ctr"/>
        <c:lblOffset val="100"/>
        <c:noMultiLvlLbl val="1"/>
      </c:catAx>
      <c:valAx>
        <c:axId val="50947200"/>
        <c:scaling>
          <c:orientation val="minMax"/>
        </c:scaling>
        <c:delete val="1"/>
        <c:axPos val="l"/>
        <c:majorGridlines/>
        <c:numFmt formatCode="General" sourceLinked="1"/>
        <c:majorTickMark val="cross"/>
        <c:minorTickMark val="cross"/>
        <c:tickLblPos val="nextTo"/>
        <c:crossAx val="46239104"/>
        <c:crosses val="autoZero"/>
        <c:crossBetween val="between"/>
      </c:valAx>
    </c:plotArea>
    <c:legend>
      <c:legendPos val="r"/>
      <c:layout/>
      <c:overlay val="1"/>
    </c:legend>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61</Pages>
  <Words>16597</Words>
  <Characters>97924</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III</vt:lpstr>
    </vt:vector>
  </TitlesOfParts>
  <Company>Ministerstvo financí</Company>
  <LinksUpToDate>false</LinksUpToDate>
  <CharactersWithSpaces>114293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Ratajská Dana Ing.</dc:creator>
  <cp:lastModifiedBy>Erlichová Pavla</cp:lastModifiedBy>
  <cp:revision>2</cp:revision>
  <cp:lastPrinted>2015-05-21T11:22:00Z</cp:lastPrinted>
  <dcterms:created xsi:type="dcterms:W3CDTF">2015-06-17T13:08:00Z</dcterms:created>
  <dcterms:modified xsi:type="dcterms:W3CDTF">2015-06-17T13:08:00Z</dcterms:modified>
</cp:coreProperties>
</file>