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50B" w:rsidRPr="00147422" w:rsidRDefault="0017450B" w:rsidP="00147422">
      <w:pPr>
        <w:jc w:val="right"/>
        <w:rPr>
          <w:rFonts w:ascii="Times New Roman" w:hAnsi="Times New Roman"/>
          <w:sz w:val="28"/>
          <w:szCs w:val="28"/>
        </w:rPr>
      </w:pPr>
      <w:r w:rsidRPr="00147422">
        <w:rPr>
          <w:rFonts w:ascii="Times New Roman" w:hAnsi="Times New Roman"/>
          <w:sz w:val="28"/>
          <w:szCs w:val="28"/>
        </w:rPr>
        <w:t>I.</w:t>
      </w:r>
    </w:p>
    <w:p w:rsidR="0017450B" w:rsidRPr="00147422" w:rsidRDefault="0017450B" w:rsidP="00147422">
      <w:pPr>
        <w:jc w:val="center"/>
        <w:rPr>
          <w:rFonts w:ascii="Times New Roman" w:hAnsi="Times New Roman"/>
          <w:b/>
          <w:sz w:val="28"/>
          <w:szCs w:val="28"/>
        </w:rPr>
      </w:pPr>
      <w:r w:rsidRPr="00147422">
        <w:rPr>
          <w:rFonts w:ascii="Times New Roman" w:hAnsi="Times New Roman"/>
          <w:b/>
          <w:sz w:val="28"/>
          <w:szCs w:val="28"/>
        </w:rPr>
        <w:t>Nadlimitní veřejná zakázka zadávaná v jednacím řízení bez uveřejnění podle § 23 zákona č. 137/2006 Sb., o veřejných zakázkách, ve znění pozdějších předpisů s názvem Repase OBU v roce 2015</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17450B" w:rsidTr="00A93FE8">
        <w:tc>
          <w:tcPr>
            <w:tcW w:w="4606" w:type="dxa"/>
          </w:tcPr>
          <w:p w:rsidR="0017450B" w:rsidRPr="00A93FE8" w:rsidRDefault="0017450B" w:rsidP="00A93FE8">
            <w:pPr>
              <w:spacing w:after="0" w:line="240" w:lineRule="auto"/>
              <w:rPr>
                <w:rFonts w:ascii="Times New Roman" w:hAnsi="Times New Roman"/>
                <w:b/>
                <w:sz w:val="24"/>
                <w:szCs w:val="24"/>
              </w:rPr>
            </w:pPr>
            <w:r w:rsidRPr="00A93FE8">
              <w:rPr>
                <w:rFonts w:ascii="Times New Roman" w:hAnsi="Times New Roman"/>
                <w:b/>
                <w:sz w:val="24"/>
                <w:szCs w:val="24"/>
              </w:rPr>
              <w:t>Název veřejné zakázky a</w:t>
            </w:r>
            <w:r w:rsidRPr="00A93FE8">
              <w:rPr>
                <w:rFonts w:ascii="Times New Roman" w:hAnsi="Times New Roman"/>
                <w:b/>
                <w:i/>
                <w:sz w:val="24"/>
                <w:szCs w:val="24"/>
              </w:rPr>
              <w:t xml:space="preserve"> </w:t>
            </w:r>
            <w:r w:rsidRPr="00A93FE8">
              <w:rPr>
                <w:rFonts w:ascii="Times New Roman" w:hAnsi="Times New Roman"/>
                <w:b/>
                <w:sz w:val="24"/>
                <w:szCs w:val="24"/>
              </w:rPr>
              <w:t>důvod předložení materiálu</w:t>
            </w:r>
          </w:p>
        </w:tc>
        <w:tc>
          <w:tcPr>
            <w:tcW w:w="4606" w:type="dxa"/>
          </w:tcPr>
          <w:p w:rsidR="0017450B" w:rsidRPr="00A93FE8" w:rsidRDefault="0017450B" w:rsidP="00A93FE8">
            <w:pPr>
              <w:spacing w:before="120" w:after="120" w:line="240" w:lineRule="auto"/>
              <w:jc w:val="both"/>
              <w:rPr>
                <w:rFonts w:ascii="Times New Roman" w:hAnsi="Times New Roman"/>
                <w:b/>
                <w:sz w:val="24"/>
                <w:szCs w:val="24"/>
              </w:rPr>
            </w:pPr>
            <w:r w:rsidRPr="00A93FE8">
              <w:rPr>
                <w:rFonts w:ascii="Times New Roman" w:hAnsi="Times New Roman"/>
                <w:b/>
                <w:sz w:val="24"/>
                <w:szCs w:val="24"/>
              </w:rPr>
              <w:t>Repase OBU v roce 2015</w:t>
            </w:r>
          </w:p>
          <w:p w:rsidR="0017450B" w:rsidRPr="00A93FE8" w:rsidRDefault="0017450B" w:rsidP="00A93FE8">
            <w:pPr>
              <w:spacing w:before="120" w:after="120" w:line="240" w:lineRule="auto"/>
              <w:jc w:val="both"/>
              <w:rPr>
                <w:rFonts w:ascii="Times New Roman" w:hAnsi="Times New Roman"/>
                <w:sz w:val="24"/>
                <w:szCs w:val="24"/>
              </w:rPr>
            </w:pPr>
            <w:r w:rsidRPr="00A93FE8">
              <w:rPr>
                <w:rFonts w:ascii="Times New Roman" w:hAnsi="Times New Roman"/>
                <w:sz w:val="24"/>
                <w:szCs w:val="24"/>
              </w:rPr>
              <w:t>Tato veřejná zakázka bude zadávána dle ust. § 23 odst. 4 písm. a) zákona č. 137/2006 Sb., o veřejných zakázkách, ve znění pozdějších předpisů.</w:t>
            </w:r>
          </w:p>
          <w:p w:rsidR="0017450B" w:rsidRPr="00A93FE8" w:rsidRDefault="0017450B" w:rsidP="00A93FE8">
            <w:pPr>
              <w:spacing w:before="120" w:after="120" w:line="240" w:lineRule="auto"/>
              <w:jc w:val="both"/>
              <w:rPr>
                <w:rFonts w:ascii="Times New Roman" w:hAnsi="Times New Roman"/>
                <w:sz w:val="24"/>
                <w:szCs w:val="24"/>
              </w:rPr>
            </w:pPr>
            <w:r w:rsidRPr="00A93FE8">
              <w:rPr>
                <w:rFonts w:ascii="Times New Roman" w:hAnsi="Times New Roman"/>
                <w:sz w:val="24"/>
                <w:szCs w:val="24"/>
              </w:rPr>
              <w:t>Tento materiál je předkládán na základě úkolu stanoveném v bodě I.1. odst. a) písm. ab) usnesení vlády ČR č. 246 ze dne 10. dubna 2013 o zrušení usnesení vlády ze dne 22. února 2010 č. 158, o opatřeních při zadávání veřejných zakázek, a uložení povinností v souvislosti se zadáváním veřejných zakázek na základě výjimek a významných veřejných zakázek</w:t>
            </w:r>
          </w:p>
        </w:tc>
      </w:tr>
      <w:tr w:rsidR="0017450B" w:rsidTr="00A93FE8">
        <w:tc>
          <w:tcPr>
            <w:tcW w:w="4606" w:type="dxa"/>
          </w:tcPr>
          <w:p w:rsidR="0017450B" w:rsidRPr="00A93FE8" w:rsidRDefault="0017450B" w:rsidP="00A93FE8">
            <w:pPr>
              <w:spacing w:after="0" w:line="240" w:lineRule="auto"/>
              <w:jc w:val="both"/>
              <w:rPr>
                <w:rFonts w:ascii="Times New Roman" w:hAnsi="Times New Roman"/>
                <w:sz w:val="24"/>
                <w:szCs w:val="24"/>
              </w:rPr>
            </w:pPr>
            <w:r w:rsidRPr="00A93FE8">
              <w:rPr>
                <w:rFonts w:ascii="Times New Roman" w:hAnsi="Times New Roman"/>
                <w:b/>
                <w:sz w:val="24"/>
                <w:szCs w:val="24"/>
              </w:rPr>
              <w:t>Předmět veřejné zakázky</w:t>
            </w:r>
          </w:p>
        </w:tc>
        <w:tc>
          <w:tcPr>
            <w:tcW w:w="4606" w:type="dxa"/>
          </w:tcPr>
          <w:p w:rsidR="0017450B" w:rsidRPr="00A93FE8" w:rsidRDefault="0017450B" w:rsidP="00A93FE8">
            <w:pPr>
              <w:spacing w:before="120" w:after="120" w:line="240" w:lineRule="auto"/>
              <w:jc w:val="both"/>
              <w:rPr>
                <w:rFonts w:ascii="Times New Roman" w:hAnsi="Times New Roman"/>
                <w:sz w:val="24"/>
                <w:szCs w:val="24"/>
              </w:rPr>
            </w:pPr>
            <w:r w:rsidRPr="00A93FE8">
              <w:rPr>
                <w:rFonts w:ascii="Times New Roman" w:hAnsi="Times New Roman"/>
                <w:sz w:val="24"/>
                <w:szCs w:val="24"/>
              </w:rPr>
              <w:t>Předmětem této veřejné zakázky je poskytování služeb repase cca 60 tis. ks palubních jednotek (dále také „OBU“), které budou opětovně využity v Systému elektronického mýta jako prostředek výběru mýta, tedy jako prostředek k plnění povinnosti stanovené zákonem č. 13/1997 Sb., o pozemních komunikacích, ve znění pozdějších předpisů.</w:t>
            </w:r>
          </w:p>
        </w:tc>
      </w:tr>
      <w:tr w:rsidR="0017450B" w:rsidTr="00A93FE8">
        <w:tc>
          <w:tcPr>
            <w:tcW w:w="4606" w:type="dxa"/>
          </w:tcPr>
          <w:p w:rsidR="0017450B" w:rsidRPr="00A93FE8" w:rsidRDefault="0017450B" w:rsidP="00A93FE8">
            <w:pPr>
              <w:autoSpaceDE w:val="0"/>
              <w:autoSpaceDN w:val="0"/>
              <w:adjustRightInd w:val="0"/>
              <w:spacing w:after="180" w:line="240" w:lineRule="auto"/>
              <w:jc w:val="both"/>
              <w:rPr>
                <w:rFonts w:ascii="Times New Roman" w:hAnsi="Times New Roman"/>
                <w:sz w:val="24"/>
                <w:szCs w:val="24"/>
              </w:rPr>
            </w:pPr>
            <w:r w:rsidRPr="00A93FE8">
              <w:rPr>
                <w:rFonts w:ascii="Times New Roman" w:hAnsi="Times New Roman"/>
                <w:b/>
                <w:sz w:val="24"/>
                <w:szCs w:val="24"/>
              </w:rPr>
              <w:t>Zdůvodnění potřeby realizace</w:t>
            </w:r>
          </w:p>
        </w:tc>
        <w:tc>
          <w:tcPr>
            <w:tcW w:w="4606" w:type="dxa"/>
          </w:tcPr>
          <w:p w:rsidR="0017450B" w:rsidRPr="00A93FE8" w:rsidRDefault="0017450B" w:rsidP="00A93FE8">
            <w:pPr>
              <w:autoSpaceDE w:val="0"/>
              <w:autoSpaceDN w:val="0"/>
              <w:adjustRightInd w:val="0"/>
              <w:spacing w:before="120" w:after="120" w:line="240" w:lineRule="auto"/>
              <w:jc w:val="both"/>
              <w:rPr>
                <w:rFonts w:ascii="Times New Roman" w:hAnsi="Times New Roman"/>
                <w:sz w:val="24"/>
                <w:szCs w:val="24"/>
              </w:rPr>
            </w:pPr>
            <w:r w:rsidRPr="00A93FE8">
              <w:rPr>
                <w:rFonts w:ascii="Times New Roman" w:hAnsi="Times New Roman"/>
                <w:sz w:val="24"/>
                <w:szCs w:val="24"/>
              </w:rPr>
              <w:t>Provozovatel Systému elektronického mýta musí skrze Konsorcium společností Kapsch, tedy skrze dodavatele systému a poskytovatele služeb s provozem tohoto systému souvisejících, zabezpečit dostatečné množství OBU, které jsou vydávány nově registrovaným uživatelům. Pomocí poskytování služeb repase OBU je zabezpečováno průběžné doplňování zásob těchto elektronických zařízení v Systému elektronického mýta, a to z důvodu značného počtu (cca 7000 ks měsíčně) vyřazovaných palubních jednotek ze systému bez ohledu na důvody jejich vyřazení (ztráty, odcizení, zničení).</w:t>
            </w:r>
          </w:p>
          <w:p w:rsidR="0017450B" w:rsidRPr="00A93FE8" w:rsidRDefault="0017450B" w:rsidP="00A93FE8">
            <w:pPr>
              <w:autoSpaceDE w:val="0"/>
              <w:autoSpaceDN w:val="0"/>
              <w:adjustRightInd w:val="0"/>
              <w:spacing w:before="120" w:after="120" w:line="240" w:lineRule="auto"/>
              <w:jc w:val="both"/>
              <w:rPr>
                <w:rFonts w:ascii="Times New Roman" w:hAnsi="Times New Roman"/>
                <w:sz w:val="24"/>
                <w:szCs w:val="24"/>
              </w:rPr>
            </w:pPr>
          </w:p>
          <w:p w:rsidR="0017450B" w:rsidRPr="00A93FE8" w:rsidRDefault="0017450B" w:rsidP="00A93FE8">
            <w:pPr>
              <w:autoSpaceDE w:val="0"/>
              <w:autoSpaceDN w:val="0"/>
              <w:adjustRightInd w:val="0"/>
              <w:spacing w:before="120" w:after="120" w:line="240" w:lineRule="auto"/>
              <w:jc w:val="both"/>
              <w:rPr>
                <w:rFonts w:ascii="Times New Roman" w:hAnsi="Times New Roman"/>
                <w:sz w:val="24"/>
                <w:szCs w:val="24"/>
              </w:rPr>
            </w:pPr>
            <w:r w:rsidRPr="00A93FE8">
              <w:rPr>
                <w:rFonts w:ascii="Times New Roman" w:hAnsi="Times New Roman"/>
                <w:sz w:val="24"/>
                <w:szCs w:val="24"/>
              </w:rPr>
              <w:t>Provozovatel Systému elektronického mýta tak s péčí řádného hospodáře pomocí repase opětovně využije ty palubní jednotky, které jsou nefunkční nebo poničené, a opětovně je využije pro výběr mýta na zpoplatněných pozemních komunikacích. V opačném případě by bylo nutné nakoupit daleko větší množství nových palubních jednotek, než je plánováno a realizováno každým rokem.</w:t>
            </w:r>
          </w:p>
        </w:tc>
      </w:tr>
      <w:tr w:rsidR="0017450B" w:rsidTr="00A93FE8">
        <w:tc>
          <w:tcPr>
            <w:tcW w:w="4606" w:type="dxa"/>
          </w:tcPr>
          <w:p w:rsidR="0017450B" w:rsidRPr="00A93FE8" w:rsidRDefault="0017450B" w:rsidP="00A93FE8">
            <w:pPr>
              <w:spacing w:after="0" w:line="240" w:lineRule="auto"/>
              <w:jc w:val="both"/>
              <w:rPr>
                <w:rFonts w:ascii="Times New Roman" w:hAnsi="Times New Roman"/>
                <w:sz w:val="24"/>
                <w:szCs w:val="24"/>
              </w:rPr>
            </w:pPr>
            <w:r w:rsidRPr="00A93FE8">
              <w:rPr>
                <w:rFonts w:ascii="Times New Roman" w:hAnsi="Times New Roman"/>
                <w:b/>
                <w:sz w:val="24"/>
                <w:szCs w:val="24"/>
              </w:rPr>
              <w:t>Oprávněnost použití jednacího řízení bez uveřejnění dle § 23 ZVZ nebo výjimky dle § 18 ZVZ</w:t>
            </w:r>
          </w:p>
        </w:tc>
        <w:tc>
          <w:tcPr>
            <w:tcW w:w="4606" w:type="dxa"/>
          </w:tcPr>
          <w:p w:rsidR="0017450B" w:rsidRPr="00A93FE8" w:rsidRDefault="0017450B" w:rsidP="00A93FE8">
            <w:pPr>
              <w:spacing w:before="120" w:after="120" w:line="240" w:lineRule="auto"/>
              <w:jc w:val="both"/>
              <w:rPr>
                <w:rFonts w:ascii="Times New Roman" w:hAnsi="Times New Roman"/>
                <w:sz w:val="24"/>
                <w:szCs w:val="24"/>
              </w:rPr>
            </w:pPr>
            <w:r w:rsidRPr="00A93FE8">
              <w:rPr>
                <w:rFonts w:ascii="Times New Roman" w:hAnsi="Times New Roman"/>
                <w:sz w:val="24"/>
                <w:szCs w:val="24"/>
              </w:rPr>
              <w:t>Poskytování předmětných služeb může zajistit pouze stávající poskytovatel služeb spojených s provozem Systému elektronického mýta, jímž je Konsorcium společností Kapsch, neboť zde existují takové technické důvody, které znemožňují provedení repase třetí stranou. Mezi tyto důvody především patří zajištění plné kompatibility mezi palubní jednotkou a systémem, kdy pouze Konsorcium společností Kapsch disponuje zkušenostmi, na jejichž základě lze docílit plné interakce těchto částí systému s minimalizací vadných stavů, dále se jedná o použití bezpečnostních klíčů pro DSRC komunikaci mezi palubní jednotkou a mýtnou infrastrukturou, kdy tyto bezpečnostní klíče není možné poskytnout třetí straně a v neposlední řadě se jedná o právní ochranu použité elektroniky v palubních jednotkách. Konsorcium společností Kapsch palubní jednotky repasuje a dodává jako nedílnou součást zařízení Systému elektronického mýta. Tento postup je také v souladu se závěry znaleckého posudku zpracovaného Ing. Jiřím Bergerem, MBA, soudním znalcem v oboru kybernetika, odvětví výpočetní technika, č. 418/74/2011 ze dne 29. října 2011. Cena repase stanovená ve Změnovém řízení č. SCR 002 C 00 KTSCZ RSD vydaném společností Kapsch Telematic Services s.r.o. dne 23. července 2007 ve výši 969,- Kč vč. DPH byla potvrzena znaleckým posudkem č. 51/2014 na posouzení nabídnuté ceny zakázky „Repase OBU v roce 2015“, který byl zpracován dne 19. prosince 2014 znaleckým ústavem A-Consult plus s.r.o.</w:t>
            </w:r>
          </w:p>
          <w:p w:rsidR="0017450B" w:rsidRPr="00A93FE8" w:rsidRDefault="0017450B" w:rsidP="00A93FE8">
            <w:pPr>
              <w:spacing w:before="120" w:after="120" w:line="240" w:lineRule="auto"/>
              <w:jc w:val="both"/>
              <w:rPr>
                <w:rFonts w:ascii="Times New Roman" w:hAnsi="Times New Roman"/>
                <w:sz w:val="24"/>
                <w:szCs w:val="24"/>
              </w:rPr>
            </w:pPr>
          </w:p>
          <w:p w:rsidR="0017450B" w:rsidRPr="00A93FE8" w:rsidRDefault="0017450B" w:rsidP="00A93FE8">
            <w:pPr>
              <w:spacing w:before="120" w:after="120" w:line="240" w:lineRule="auto"/>
              <w:jc w:val="both"/>
              <w:rPr>
                <w:rFonts w:ascii="Times New Roman" w:hAnsi="Times New Roman"/>
                <w:sz w:val="24"/>
                <w:szCs w:val="24"/>
              </w:rPr>
            </w:pPr>
          </w:p>
        </w:tc>
      </w:tr>
      <w:tr w:rsidR="0017450B" w:rsidTr="00A93FE8">
        <w:tc>
          <w:tcPr>
            <w:tcW w:w="4606" w:type="dxa"/>
          </w:tcPr>
          <w:p w:rsidR="0017450B" w:rsidRPr="00A93FE8" w:rsidRDefault="0017450B" w:rsidP="00A93FE8">
            <w:pPr>
              <w:spacing w:after="0" w:line="240" w:lineRule="auto"/>
              <w:jc w:val="both"/>
              <w:rPr>
                <w:rFonts w:ascii="Times New Roman" w:hAnsi="Times New Roman"/>
                <w:sz w:val="24"/>
                <w:szCs w:val="24"/>
              </w:rPr>
            </w:pPr>
            <w:r w:rsidRPr="00A93FE8">
              <w:rPr>
                <w:rFonts w:ascii="Times New Roman" w:hAnsi="Times New Roman"/>
                <w:b/>
                <w:sz w:val="24"/>
                <w:szCs w:val="24"/>
              </w:rPr>
              <w:t>Informace o smlouvě</w:t>
            </w:r>
          </w:p>
        </w:tc>
        <w:tc>
          <w:tcPr>
            <w:tcW w:w="4606" w:type="dxa"/>
          </w:tcPr>
          <w:p w:rsidR="0017450B" w:rsidRPr="00A93FE8" w:rsidRDefault="0017450B" w:rsidP="00A93FE8">
            <w:pPr>
              <w:spacing w:before="120" w:after="120" w:line="240" w:lineRule="auto"/>
              <w:jc w:val="both"/>
              <w:rPr>
                <w:rFonts w:ascii="Times New Roman" w:hAnsi="Times New Roman"/>
                <w:sz w:val="24"/>
                <w:szCs w:val="24"/>
              </w:rPr>
            </w:pPr>
            <w:r w:rsidRPr="00A93FE8">
              <w:rPr>
                <w:rFonts w:ascii="Times New Roman" w:hAnsi="Times New Roman"/>
                <w:sz w:val="24"/>
                <w:szCs w:val="24"/>
              </w:rPr>
              <w:t>Repase OBU v roce 2015 bude realizována na základě dodatku ke smlouvě o poskytování služeb souvisejících s provozem systému výkonového zpoplatnění vybraných pozemních komunikací v České republice. Poskytování předmětných služeb bude probíhat kontinuálně v roce 2015. Jednání o uzavření smlouvy dosud nebylo zahájeno.</w:t>
            </w:r>
          </w:p>
        </w:tc>
      </w:tr>
      <w:tr w:rsidR="0017450B" w:rsidTr="00A93FE8">
        <w:tc>
          <w:tcPr>
            <w:tcW w:w="4606" w:type="dxa"/>
          </w:tcPr>
          <w:p w:rsidR="0017450B" w:rsidRPr="00A93FE8" w:rsidRDefault="0017450B" w:rsidP="00A93FE8">
            <w:pPr>
              <w:autoSpaceDE w:val="0"/>
              <w:autoSpaceDN w:val="0"/>
              <w:adjustRightInd w:val="0"/>
              <w:spacing w:after="180" w:line="240" w:lineRule="auto"/>
              <w:jc w:val="both"/>
              <w:rPr>
                <w:rFonts w:ascii="Times New Roman" w:hAnsi="Times New Roman"/>
                <w:sz w:val="24"/>
                <w:szCs w:val="24"/>
              </w:rPr>
            </w:pPr>
            <w:r w:rsidRPr="00A93FE8">
              <w:rPr>
                <w:rFonts w:ascii="Times New Roman" w:hAnsi="Times New Roman"/>
                <w:b/>
                <w:sz w:val="24"/>
                <w:szCs w:val="24"/>
              </w:rPr>
              <w:t>Předpokládaná hodnota</w:t>
            </w:r>
          </w:p>
        </w:tc>
        <w:tc>
          <w:tcPr>
            <w:tcW w:w="4606" w:type="dxa"/>
          </w:tcPr>
          <w:p w:rsidR="0017450B" w:rsidRPr="00A93FE8" w:rsidRDefault="0017450B" w:rsidP="00A93FE8">
            <w:pPr>
              <w:autoSpaceDE w:val="0"/>
              <w:autoSpaceDN w:val="0"/>
              <w:adjustRightInd w:val="0"/>
              <w:spacing w:before="120" w:after="120" w:line="240" w:lineRule="auto"/>
              <w:jc w:val="both"/>
              <w:rPr>
                <w:rFonts w:ascii="Times New Roman" w:hAnsi="Times New Roman"/>
                <w:sz w:val="24"/>
                <w:szCs w:val="24"/>
              </w:rPr>
            </w:pPr>
            <w:r w:rsidRPr="00A93FE8">
              <w:rPr>
                <w:rFonts w:ascii="Times New Roman" w:hAnsi="Times New Roman"/>
                <w:sz w:val="24"/>
                <w:szCs w:val="24"/>
              </w:rPr>
              <w:t>48 857 400,- Kč bez DPH</w:t>
            </w:r>
          </w:p>
        </w:tc>
      </w:tr>
      <w:tr w:rsidR="0017450B" w:rsidTr="00A93FE8">
        <w:tc>
          <w:tcPr>
            <w:tcW w:w="4606" w:type="dxa"/>
          </w:tcPr>
          <w:p w:rsidR="0017450B" w:rsidRPr="00A93FE8" w:rsidRDefault="0017450B" w:rsidP="00A93FE8">
            <w:pPr>
              <w:spacing w:after="0" w:line="240" w:lineRule="auto"/>
              <w:jc w:val="both"/>
              <w:rPr>
                <w:rFonts w:ascii="Times New Roman" w:hAnsi="Times New Roman"/>
                <w:b/>
                <w:sz w:val="24"/>
                <w:szCs w:val="24"/>
              </w:rPr>
            </w:pPr>
            <w:r w:rsidRPr="00A93FE8">
              <w:rPr>
                <w:rFonts w:ascii="Times New Roman" w:hAnsi="Times New Roman"/>
                <w:b/>
                <w:sz w:val="24"/>
                <w:szCs w:val="24"/>
              </w:rPr>
              <w:t>Další informace</w:t>
            </w:r>
          </w:p>
        </w:tc>
        <w:tc>
          <w:tcPr>
            <w:tcW w:w="4606" w:type="dxa"/>
          </w:tcPr>
          <w:p w:rsidR="0017450B" w:rsidRPr="00A93FE8" w:rsidRDefault="0017450B" w:rsidP="00A93FE8">
            <w:pPr>
              <w:spacing w:after="0" w:line="240" w:lineRule="auto"/>
              <w:rPr>
                <w:rFonts w:ascii="Times New Roman" w:hAnsi="Times New Roman"/>
                <w:sz w:val="24"/>
                <w:szCs w:val="24"/>
              </w:rPr>
            </w:pPr>
          </w:p>
        </w:tc>
      </w:tr>
    </w:tbl>
    <w:p w:rsidR="0017450B" w:rsidRDefault="0017450B" w:rsidP="00F356E5">
      <w:pPr>
        <w:jc w:val="center"/>
      </w:pPr>
    </w:p>
    <w:sectPr w:rsidR="0017450B" w:rsidSect="005E58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56E5"/>
    <w:rsid w:val="00147422"/>
    <w:rsid w:val="0017450B"/>
    <w:rsid w:val="003767E1"/>
    <w:rsid w:val="00411222"/>
    <w:rsid w:val="0054730C"/>
    <w:rsid w:val="005E584F"/>
    <w:rsid w:val="006150B7"/>
    <w:rsid w:val="00623808"/>
    <w:rsid w:val="0065779E"/>
    <w:rsid w:val="00720E28"/>
    <w:rsid w:val="00750C13"/>
    <w:rsid w:val="00762CE7"/>
    <w:rsid w:val="007B5583"/>
    <w:rsid w:val="008822BA"/>
    <w:rsid w:val="009141E2"/>
    <w:rsid w:val="00996A88"/>
    <w:rsid w:val="00A3088A"/>
    <w:rsid w:val="00A71673"/>
    <w:rsid w:val="00A748AA"/>
    <w:rsid w:val="00A874A9"/>
    <w:rsid w:val="00A93FE8"/>
    <w:rsid w:val="00BB0CB0"/>
    <w:rsid w:val="00C7660A"/>
    <w:rsid w:val="00CB5B04"/>
    <w:rsid w:val="00F356E5"/>
    <w:rsid w:val="00FE0009"/>
    <w:rsid w:val="00FE137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E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356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587</Words>
  <Characters>3466</Characters>
  <Application>Microsoft Office Outlook</Application>
  <DocSecurity>0</DocSecurity>
  <Lines>0</Lines>
  <Paragraphs>0</Paragraphs>
  <ScaleCrop>false</ScaleCrop>
  <Company>MD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Václav KRUMPHANZL</dc:creator>
  <cp:keywords/>
  <dc:description/>
  <cp:lastModifiedBy>MD</cp:lastModifiedBy>
  <cp:revision>2</cp:revision>
  <cp:lastPrinted>2015-01-28T11:17:00Z</cp:lastPrinted>
  <dcterms:created xsi:type="dcterms:W3CDTF">2015-01-28T11:18:00Z</dcterms:created>
  <dcterms:modified xsi:type="dcterms:W3CDTF">2015-01-28T11:18:00Z</dcterms:modified>
</cp:coreProperties>
</file>